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b/>
          <w:bCs/>
          <w:sz w:val="44"/>
          <w:szCs w:val="44"/>
        </w:rPr>
        <w:t>中国华侨历史博物馆2021</w:t>
      </w:r>
      <w:r>
        <w:rPr>
          <w:rFonts w:hint="eastAsia" w:ascii="方正小标宋_GBK" w:hAnsi="方正小标宋_GBK" w:eastAsia="方正小标宋_GBK" w:cs="方正小标宋_GBK"/>
          <w:b/>
          <w:bCs/>
          <w:sz w:val="44"/>
          <w:szCs w:val="44"/>
          <w:lang w:eastAsia="zh-CN"/>
        </w:rPr>
        <w:t>年度工作报告</w:t>
      </w:r>
    </w:p>
    <w:p>
      <w:pPr>
        <w:spacing w:line="560" w:lineRule="exact"/>
        <w:ind w:firstLine="680" w:firstLineChars="200"/>
        <w:rPr>
          <w:rFonts w:ascii="仿宋_GB2312" w:hAnsi="仿宋_GB2312" w:cs="仿宋_GB2312"/>
          <w:szCs w:val="32"/>
        </w:rPr>
      </w:pPr>
    </w:p>
    <w:p>
      <w:pPr>
        <w:ind w:firstLine="680" w:firstLineChars="200"/>
        <w:rPr>
          <w:rFonts w:ascii="仿宋_GB2312" w:hAnsi="仿宋_GB2312" w:cs="仿宋_GB2312"/>
          <w:szCs w:val="32"/>
        </w:rPr>
      </w:pPr>
      <w:r>
        <w:rPr>
          <w:rFonts w:hint="eastAsia" w:ascii="宋体" w:hAnsi="宋体" w:eastAsia="宋体" w:cs="宋体"/>
          <w:szCs w:val="32"/>
        </w:rPr>
        <w:t>2021</w:t>
      </w:r>
      <w:r>
        <w:rPr>
          <w:rFonts w:ascii="仿宋_GB2312" w:hAnsi="仿宋_GB2312" w:cs="仿宋_GB2312"/>
          <w:szCs w:val="32"/>
        </w:rPr>
        <w:t>年，在中国侨联党组的关心、支持和指导下，中国华侨历史博物馆（以下简称“侨博”）以习近平新时代中国特色社会主义思想为指导，深入学习贯彻党的十九大和十九届</w:t>
      </w:r>
      <w:r>
        <w:rPr>
          <w:rFonts w:hint="eastAsia" w:ascii="仿宋_GB2312" w:hAnsi="仿宋_GB2312" w:cs="仿宋_GB2312"/>
          <w:szCs w:val="32"/>
        </w:rPr>
        <w:t>二中、三中、四中、五中、六中</w:t>
      </w:r>
      <w:r>
        <w:rPr>
          <w:rFonts w:ascii="仿宋_GB2312" w:hAnsi="仿宋_GB2312" w:cs="仿宋_GB2312"/>
          <w:szCs w:val="32"/>
        </w:rPr>
        <w:t>全会精神</w:t>
      </w:r>
      <w:r>
        <w:rPr>
          <w:rFonts w:hint="eastAsia" w:ascii="仿宋_GB2312" w:hAnsi="仿宋_GB2312" w:cs="仿宋_GB2312"/>
          <w:szCs w:val="32"/>
        </w:rPr>
        <w:t>，</w:t>
      </w:r>
      <w:r>
        <w:rPr>
          <w:rFonts w:ascii="仿宋_GB2312" w:hAnsi="仿宋_GB2312" w:cs="仿宋_GB2312"/>
          <w:szCs w:val="32"/>
        </w:rPr>
        <w:t>学习贯彻落实习近平总书记关于侨务工作</w:t>
      </w:r>
      <w:r>
        <w:rPr>
          <w:rFonts w:hint="eastAsia" w:ascii="仿宋_GB2312" w:hAnsi="仿宋_GB2312" w:cs="仿宋_GB2312"/>
          <w:szCs w:val="32"/>
        </w:rPr>
        <w:t>、文物</w:t>
      </w:r>
      <w:r>
        <w:rPr>
          <w:rFonts w:ascii="仿宋_GB2312" w:hAnsi="仿宋_GB2312" w:cs="仿宋_GB2312"/>
          <w:szCs w:val="32"/>
        </w:rPr>
        <w:t>工作重要论述，坚持立足侨博特点，围绕中国侨联中心工作大局、致力于打造海内外侨胞精神家园，为社会大众提供优质文化服务。全馆人员大胆创新，奋力拼搏，侨博党建工作和业务工作深度融合</w:t>
      </w:r>
      <w:r>
        <w:rPr>
          <w:rFonts w:hint="eastAsia" w:ascii="仿宋_GB2312" w:hAnsi="仿宋_GB2312" w:cs="仿宋_GB2312"/>
          <w:szCs w:val="32"/>
        </w:rPr>
        <w:t>，</w:t>
      </w:r>
      <w:r>
        <w:rPr>
          <w:rFonts w:ascii="仿宋_GB2312" w:hAnsi="仿宋_GB2312" w:cs="仿宋_GB2312"/>
          <w:szCs w:val="32"/>
        </w:rPr>
        <w:t>藏品征集利用和管理、展览策划</w:t>
      </w:r>
      <w:r>
        <w:rPr>
          <w:rFonts w:hint="eastAsia" w:ascii="仿宋_GB2312" w:hAnsi="仿宋_GB2312" w:cs="仿宋_GB2312"/>
          <w:szCs w:val="32"/>
        </w:rPr>
        <w:t>和</w:t>
      </w:r>
      <w:r>
        <w:rPr>
          <w:rFonts w:ascii="仿宋_GB2312" w:hAnsi="仿宋_GB2312" w:cs="仿宋_GB2312"/>
          <w:szCs w:val="32"/>
        </w:rPr>
        <w:t>宣传、研究</w:t>
      </w:r>
      <w:r>
        <w:rPr>
          <w:rFonts w:hint="eastAsia" w:ascii="仿宋_GB2312" w:hAnsi="仿宋_GB2312" w:cs="仿宋_GB2312"/>
          <w:szCs w:val="32"/>
        </w:rPr>
        <w:t>和</w:t>
      </w:r>
      <w:r>
        <w:rPr>
          <w:rFonts w:ascii="仿宋_GB2312" w:hAnsi="仿宋_GB2312" w:cs="仿宋_GB2312"/>
          <w:szCs w:val="32"/>
        </w:rPr>
        <w:t>交流等各项业务工作取得实质性进步，成果显著，探索出了一条适应疫情防控常态化新形势的发</w:t>
      </w:r>
      <w:r>
        <w:rPr>
          <w:rFonts w:hint="eastAsia" w:ascii="仿宋_GB2312" w:hAnsi="仿宋_GB2312" w:cs="仿宋_GB2312"/>
          <w:szCs w:val="32"/>
        </w:rPr>
        <w:t>展</w:t>
      </w:r>
      <w:r>
        <w:rPr>
          <w:rFonts w:ascii="仿宋_GB2312" w:hAnsi="仿宋_GB2312" w:cs="仿宋_GB2312"/>
          <w:szCs w:val="32"/>
        </w:rPr>
        <w:t>新</w:t>
      </w:r>
      <w:r>
        <w:rPr>
          <w:rFonts w:hint="eastAsia" w:ascii="仿宋_GB2312" w:hAnsi="仿宋_GB2312" w:cs="仿宋_GB2312"/>
          <w:szCs w:val="32"/>
        </w:rPr>
        <w:t>思路</w:t>
      </w:r>
      <w:r>
        <w:rPr>
          <w:rFonts w:ascii="仿宋_GB2312" w:hAnsi="仿宋_GB2312" w:cs="仿宋_GB2312"/>
          <w:szCs w:val="32"/>
        </w:rPr>
        <w:t>。</w:t>
      </w:r>
      <w:r>
        <w:rPr>
          <w:rFonts w:hint="eastAsia" w:ascii="仿宋_GB2312" w:hAnsi="仿宋_GB2312" w:cs="仿宋_GB2312"/>
          <w:szCs w:val="32"/>
        </w:rPr>
        <w:t>现将今年工作总结如下。</w:t>
      </w:r>
    </w:p>
    <w:p>
      <w:pPr>
        <w:ind w:firstLine="680" w:firstLineChars="200"/>
        <w:rPr>
          <w:rFonts w:ascii="黑体" w:hAnsi="黑体" w:eastAsia="黑体" w:cs="黑体"/>
          <w:b/>
          <w:bCs/>
          <w:szCs w:val="32"/>
        </w:rPr>
      </w:pPr>
      <w:r>
        <w:rPr>
          <w:rFonts w:hint="eastAsia" w:ascii="黑体" w:hAnsi="黑体" w:eastAsia="黑体" w:cs="黑体"/>
          <w:b/>
          <w:szCs w:val="32"/>
        </w:rPr>
        <w:t>一、</w:t>
      </w:r>
      <w:r>
        <w:rPr>
          <w:rFonts w:hint="eastAsia" w:ascii="黑体" w:hAnsi="黑体" w:eastAsia="黑体" w:cs="黑体"/>
          <w:b/>
          <w:bCs/>
          <w:szCs w:val="32"/>
        </w:rPr>
        <w:t>在党史学习教育中，充分发挥全国文明单位的示范作用和全国爱国主义教育基地的功能</w:t>
      </w:r>
    </w:p>
    <w:p>
      <w:pPr>
        <w:ind w:firstLine="680" w:firstLineChars="200"/>
        <w:rPr>
          <w:rFonts w:ascii="仿宋_GB2312" w:hAnsi="仿宋" w:cs="Times New Roman"/>
          <w:szCs w:val="32"/>
        </w:rPr>
      </w:pPr>
      <w:r>
        <w:rPr>
          <w:rFonts w:hint="eastAsia" w:ascii="仿宋_GB2312" w:hAnsi="仿宋_GB2312" w:cs="仿宋_GB2312"/>
          <w:bCs/>
          <w:szCs w:val="32"/>
        </w:rPr>
        <w:t>在党史学习教育中，侨博不仅以全国文明单位的标准要求自己，认真做好党史学习教育的各项规定动作，扎实推进“我为群众办实事”，还担负起爱国主义教育示范基地存史育人的职能，发挥馆藏资源丰富和侨史研究能力、展览制作能力较强的特长，在侨联系统党史学习教育中贡献力量。</w:t>
      </w:r>
      <w:r>
        <w:rPr>
          <w:rFonts w:hint="eastAsia" w:ascii="楷体_GB2312" w:hAnsi="楷体_GB2312" w:eastAsia="楷体_GB2312" w:cs="楷体_GB2312"/>
          <w:b/>
          <w:bCs/>
          <w:szCs w:val="32"/>
        </w:rPr>
        <w:t>一是</w:t>
      </w:r>
      <w:r>
        <w:rPr>
          <w:rFonts w:hint="eastAsia" w:ascii="仿宋_GB2312" w:hAnsi="仿宋" w:cs="Times New Roman"/>
          <w:szCs w:val="32"/>
        </w:rPr>
        <w:t>挖掘馆藏资源，办好精品展览。通过找准党史、侨史结合点，策划举办了“百年航程 赤子侨心——庆祝中国共产党成立</w:t>
      </w:r>
      <w:r>
        <w:rPr>
          <w:rFonts w:hint="eastAsia" w:ascii="宋体" w:hAnsi="宋体" w:eastAsia="宋体" w:cs="宋体"/>
          <w:szCs w:val="32"/>
        </w:rPr>
        <w:t>100</w:t>
      </w:r>
      <w:r>
        <w:rPr>
          <w:rFonts w:hint="eastAsia" w:ascii="仿宋_GB2312" w:hAnsi="仿宋" w:cs="Times New Roman"/>
          <w:szCs w:val="32"/>
        </w:rPr>
        <w:t>周年主题展”。全面系统梳理全套报纸，精心策划举办了“纸上风云五十年——《美洲华侨日报》（</w:t>
      </w:r>
      <w:r>
        <w:rPr>
          <w:rFonts w:hint="eastAsia" w:ascii="宋体" w:hAnsi="宋体" w:eastAsia="宋体" w:cs="宋体"/>
          <w:szCs w:val="32"/>
        </w:rPr>
        <w:t>1940-1989</w:t>
      </w:r>
      <w:r>
        <w:rPr>
          <w:rFonts w:ascii="仿宋_GB2312" w:hAnsi="仿宋" w:cs="Times New Roman"/>
          <w:szCs w:val="32"/>
        </w:rPr>
        <w:t>）特展</w:t>
      </w:r>
      <w:r>
        <w:rPr>
          <w:rFonts w:hint="eastAsia" w:ascii="仿宋_GB2312" w:hAnsi="仿宋" w:cs="Times New Roman"/>
          <w:szCs w:val="32"/>
        </w:rPr>
        <w:t>”。</w:t>
      </w:r>
      <w:r>
        <w:rPr>
          <w:rFonts w:hint="eastAsia" w:ascii="楷体_GB2312" w:hAnsi="楷体_GB2312" w:eastAsia="楷体_GB2312" w:cs="楷体_GB2312"/>
          <w:b/>
          <w:bCs/>
          <w:szCs w:val="32"/>
        </w:rPr>
        <w:t>二是</w:t>
      </w:r>
      <w:r>
        <w:rPr>
          <w:rFonts w:hint="eastAsia" w:ascii="仿宋_GB2312" w:hAnsi="仿宋" w:cs="Times New Roman"/>
          <w:szCs w:val="32"/>
        </w:rPr>
        <w:t>组织中国博物华侨博物馆专委会成员单位和部分地方侨联，开展了庆祝建党</w:t>
      </w:r>
      <w:r>
        <w:rPr>
          <w:rFonts w:hint="eastAsia" w:ascii="宋体" w:hAnsi="宋体" w:eastAsia="宋体" w:cs="宋体"/>
          <w:szCs w:val="32"/>
        </w:rPr>
        <w:t>100</w:t>
      </w:r>
      <w:r>
        <w:rPr>
          <w:rFonts w:ascii="仿宋_GB2312" w:hAnsi="仿宋" w:cs="Times New Roman"/>
          <w:szCs w:val="32"/>
        </w:rPr>
        <w:t>周年征文比赛、“中共党史与华侨史”专题培训班</w:t>
      </w:r>
      <w:r>
        <w:rPr>
          <w:rFonts w:hint="eastAsia" w:ascii="仿宋_GB2312" w:hAnsi="仿宋" w:cs="Times New Roman"/>
          <w:szCs w:val="32"/>
        </w:rPr>
        <w:t>、“赤子侨心跟党走——</w:t>
      </w:r>
      <w:r>
        <w:rPr>
          <w:rFonts w:hint="eastAsia" w:ascii="宋体" w:hAnsi="宋体" w:eastAsia="宋体" w:cs="宋体"/>
          <w:szCs w:val="32"/>
        </w:rPr>
        <w:t>2021</w:t>
      </w:r>
      <w:r>
        <w:rPr>
          <w:rFonts w:ascii="仿宋_GB2312" w:hAnsi="仿宋" w:cs="Times New Roman"/>
          <w:szCs w:val="32"/>
        </w:rPr>
        <w:t>年‘侨博杯’讲解比赛”决赛</w:t>
      </w:r>
      <w:r>
        <w:rPr>
          <w:rFonts w:hint="eastAsia" w:ascii="仿宋_GB2312" w:hAnsi="仿宋" w:cs="Times New Roman"/>
          <w:szCs w:val="32"/>
        </w:rPr>
        <w:t>。</w:t>
      </w:r>
      <w:r>
        <w:rPr>
          <w:rFonts w:hint="eastAsia" w:ascii="楷体_GB2312" w:hAnsi="楷体_GB2312" w:eastAsia="楷体_GB2312" w:cs="楷体_GB2312"/>
          <w:b/>
          <w:bCs/>
          <w:szCs w:val="32"/>
        </w:rPr>
        <w:t>三是</w:t>
      </w:r>
      <w:r>
        <w:rPr>
          <w:rFonts w:hint="eastAsia" w:ascii="仿宋_GB2312" w:hAnsi="仿宋" w:cs="Times New Roman"/>
          <w:szCs w:val="32"/>
        </w:rPr>
        <w:t>创新形式开展“四史”宣传教育，组织宣讲团队</w:t>
      </w:r>
      <w:r>
        <w:rPr>
          <w:rFonts w:hint="eastAsia" w:ascii="宋体" w:hAnsi="宋体" w:eastAsia="宋体" w:cs="宋体"/>
          <w:szCs w:val="32"/>
        </w:rPr>
        <w:t>3</w:t>
      </w:r>
      <w:r>
        <w:rPr>
          <w:rFonts w:hint="eastAsia" w:ascii="仿宋_GB2312" w:hAnsi="仿宋" w:cs="Times New Roman"/>
          <w:szCs w:val="32"/>
        </w:rPr>
        <w:t>次走进校园宣讲嘉庚精神。</w:t>
      </w:r>
      <w:r>
        <w:rPr>
          <w:rFonts w:hint="eastAsia" w:ascii="楷体_GB2312" w:hAnsi="楷体_GB2312" w:eastAsia="楷体_GB2312" w:cs="楷体_GB2312"/>
          <w:b/>
          <w:bCs/>
          <w:szCs w:val="32"/>
        </w:rPr>
        <w:t>四是</w:t>
      </w:r>
      <w:r>
        <w:rPr>
          <w:rFonts w:hint="eastAsia" w:ascii="仿宋_GB2312" w:hAnsi="仿宋" w:cs="Times New Roman"/>
          <w:szCs w:val="32"/>
        </w:rPr>
        <w:t>创新党史学习教育形式，与中联部党群外事协调局党支部和国际交流中心党支部、中办服务局保障处党支部和餐饮处党支部、东城区北新桥街道前永康社区党委两个党支部开展联学联建主题党日活动。</w:t>
      </w:r>
    </w:p>
    <w:p>
      <w:pPr>
        <w:ind w:firstLine="680" w:firstLineChars="200"/>
        <w:rPr>
          <w:rFonts w:hint="eastAsia" w:ascii="仿宋_GB2312" w:hAnsi="仿宋" w:cs="Times New Roman"/>
          <w:szCs w:val="32"/>
        </w:rPr>
      </w:pPr>
      <w:r>
        <w:rPr>
          <w:rFonts w:hint="eastAsia" w:ascii="宋体" w:hAnsi="宋体" w:eastAsia="宋体" w:cs="宋体"/>
          <w:szCs w:val="32"/>
        </w:rPr>
        <w:t>2021</w:t>
      </w:r>
      <w:r>
        <w:rPr>
          <w:rFonts w:hint="eastAsia" w:ascii="仿宋_GB2312" w:hAnsi="仿宋" w:cs="Times New Roman"/>
          <w:szCs w:val="32"/>
        </w:rPr>
        <w:t>年，侨博被中直机关工委确定为中央和国家机关党性教育活动场所，并</w:t>
      </w:r>
      <w:r>
        <w:rPr>
          <w:rFonts w:ascii="仿宋_GB2312" w:hAnsi="仿宋" w:cs="Times New Roman"/>
          <w:szCs w:val="32"/>
        </w:rPr>
        <w:t>被中国侨联连续第二次评为先进基层党支部</w:t>
      </w:r>
      <w:r>
        <w:rPr>
          <w:rFonts w:hint="eastAsia" w:ascii="仿宋_GB2312" w:hAnsi="仿宋" w:cs="Times New Roman"/>
          <w:szCs w:val="32"/>
        </w:rPr>
        <w:t>。</w:t>
      </w:r>
    </w:p>
    <w:p>
      <w:pPr>
        <w:ind w:firstLine="680" w:firstLineChars="200"/>
        <w:jc w:val="center"/>
        <w:rPr>
          <w:rFonts w:hint="eastAsia" w:ascii="仿宋_GB2312" w:hAnsi="仿宋" w:eastAsia="仿宋_GB2312" w:cs="Times New Roman"/>
          <w:szCs w:val="32"/>
          <w:lang w:eastAsia="zh-CN"/>
        </w:rPr>
      </w:pPr>
    </w:p>
    <w:p>
      <w:pPr>
        <w:jc w:val="center"/>
        <w:rPr>
          <w:rFonts w:hint="eastAsia" w:ascii="仿宋_GB2312" w:hAnsi="仿宋" w:eastAsia="仿宋_GB2312" w:cs="Times New Roman"/>
          <w:szCs w:val="32"/>
          <w:lang w:eastAsia="zh-CN"/>
        </w:rPr>
      </w:pPr>
      <w:r>
        <w:rPr>
          <w:rFonts w:hint="eastAsia" w:ascii="仿宋_GB2312" w:hAnsi="仿宋" w:eastAsia="仿宋_GB2312" w:cs="Times New Roman"/>
          <w:szCs w:val="32"/>
          <w:lang w:eastAsia="zh-CN"/>
        </w:rPr>
        <w:drawing>
          <wp:inline distT="0" distB="0" distL="114300" distR="114300">
            <wp:extent cx="4530725" cy="2541905"/>
            <wp:effectExtent l="0" t="0" r="3175" b="10795"/>
            <wp:docPr id="4" name="图片 4" descr="4、10月21日，隋军副主席，唐闻生、陈兰通、林淑娘、李祖沛顾问等领导出席“纸上风云五十年——《美洲华侨日报》（1940-1989）特展”开幕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10月21日，隋军副主席，唐闻生、陈兰通、林淑娘、李祖沛顾问等领导出席“纸上风云五十年——《美洲华侨日报》（1940-1989）特展”开幕式"/>
                    <pic:cNvPicPr>
                      <a:picLocks noChangeAspect="1"/>
                    </pic:cNvPicPr>
                  </pic:nvPicPr>
                  <pic:blipFill>
                    <a:blip r:embed="rId6"/>
                    <a:stretch>
                      <a:fillRect/>
                    </a:stretch>
                  </pic:blipFill>
                  <pic:spPr>
                    <a:xfrm>
                      <a:off x="0" y="0"/>
                      <a:ext cx="4530725" cy="2541905"/>
                    </a:xfrm>
                    <a:prstGeom prst="rect">
                      <a:avLst/>
                    </a:prstGeom>
                  </pic:spPr>
                </pic:pic>
              </a:graphicData>
            </a:graphic>
          </wp:inline>
        </w:drawing>
      </w:r>
    </w:p>
    <w:p>
      <w:pPr>
        <w:jc w:val="center"/>
        <w:rPr>
          <w:rFonts w:hint="eastAsia" w:ascii="仿宋_GB2312" w:hAnsi="仿宋" w:eastAsia="仿宋_GB2312" w:cs="Times New Roman"/>
          <w:szCs w:val="32"/>
          <w:lang w:eastAsia="zh-CN"/>
        </w:rPr>
      </w:pPr>
      <w:r>
        <w:rPr>
          <w:rFonts w:hint="eastAsia" w:ascii="仿宋_GB2312" w:hAnsi="仿宋" w:eastAsia="仿宋_GB2312" w:cs="Times New Roman"/>
          <w:szCs w:val="32"/>
          <w:lang w:eastAsia="zh-CN"/>
        </w:rPr>
        <w:drawing>
          <wp:inline distT="0" distB="0" distL="114300" distR="114300">
            <wp:extent cx="3152775" cy="4137660"/>
            <wp:effectExtent l="0" t="0" r="9525" b="15240"/>
            <wp:docPr id="5" name="图片 5" descr="5、11月18日，万立骏主席到馆参观“纸上风云五十年——《美洲华侨日报》（1940-1989）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11月18日，万立骏主席到馆参观“纸上风云五十年——《美洲华侨日报》（1940-1989）特展”。"/>
                    <pic:cNvPicPr>
                      <a:picLocks noChangeAspect="1"/>
                    </pic:cNvPicPr>
                  </pic:nvPicPr>
                  <pic:blipFill>
                    <a:blip r:embed="rId7"/>
                    <a:stretch>
                      <a:fillRect/>
                    </a:stretch>
                  </pic:blipFill>
                  <pic:spPr>
                    <a:xfrm>
                      <a:off x="0" y="0"/>
                      <a:ext cx="3152775" cy="4137660"/>
                    </a:xfrm>
                    <a:prstGeom prst="rect">
                      <a:avLst/>
                    </a:prstGeom>
                  </pic:spPr>
                </pic:pic>
              </a:graphicData>
            </a:graphic>
          </wp:inline>
        </w:drawing>
      </w:r>
    </w:p>
    <w:p>
      <w:pPr>
        <w:ind w:firstLine="680" w:firstLineChars="200"/>
        <w:rPr>
          <w:rFonts w:ascii="黑体" w:hAnsi="仿宋_GB2312" w:eastAsia="黑体" w:cs="仿宋_GB2312"/>
          <w:szCs w:val="32"/>
        </w:rPr>
      </w:pPr>
      <w:r>
        <w:rPr>
          <w:rFonts w:hint="eastAsia" w:ascii="黑体" w:hAnsi="楷体_GB2312" w:eastAsia="黑体" w:cs="楷体_GB2312"/>
          <w:b/>
          <w:szCs w:val="32"/>
        </w:rPr>
        <w:t>二、细化发展规划，顶层设计落地实施</w:t>
      </w:r>
    </w:p>
    <w:p>
      <w:pPr>
        <w:ind w:firstLine="680" w:firstLineChars="200"/>
        <w:rPr>
          <w:rFonts w:ascii="仿宋_GB2312" w:hAnsi="仿宋_GB2312" w:cs="仿宋_GB2312"/>
          <w:szCs w:val="32"/>
        </w:rPr>
      </w:pPr>
      <w:r>
        <w:rPr>
          <w:rFonts w:hint="eastAsia" w:ascii="仿宋_GB2312" w:hAnsi="仿宋_GB2312" w:cs="仿宋_GB2312"/>
          <w:szCs w:val="32"/>
        </w:rPr>
        <w:t>为了落实好《中国侨联事业发展规划（</w:t>
      </w:r>
      <w:r>
        <w:rPr>
          <w:rFonts w:hint="eastAsia" w:ascii="宋体" w:hAnsi="宋体" w:eastAsia="宋体" w:cs="宋体"/>
          <w:szCs w:val="32"/>
        </w:rPr>
        <w:t>2021-2025</w:t>
      </w:r>
      <w:r>
        <w:rPr>
          <w:rFonts w:ascii="仿宋_GB2312" w:hAnsi="仿宋_GB2312" w:cs="仿宋_GB2312"/>
          <w:szCs w:val="32"/>
        </w:rPr>
        <w:t>年）》</w:t>
      </w:r>
      <w:r>
        <w:rPr>
          <w:rFonts w:hint="eastAsia" w:ascii="仿宋_GB2312" w:hAnsi="仿宋_GB2312" w:cs="仿宋_GB2312"/>
          <w:szCs w:val="32"/>
        </w:rPr>
        <w:t>《中国华侨历史博物馆五年发展规划（</w:t>
      </w:r>
      <w:r>
        <w:rPr>
          <w:rFonts w:hint="eastAsia" w:ascii="宋体" w:hAnsi="宋体" w:eastAsia="宋体" w:cs="宋体"/>
          <w:szCs w:val="32"/>
        </w:rPr>
        <w:t>2021-2025</w:t>
      </w:r>
      <w:r>
        <w:rPr>
          <w:rFonts w:ascii="仿宋_GB2312" w:hAnsi="仿宋_GB2312" w:cs="仿宋_GB2312"/>
          <w:szCs w:val="32"/>
        </w:rPr>
        <w:t>年）》</w:t>
      </w:r>
      <w:r>
        <w:rPr>
          <w:rFonts w:hint="eastAsia" w:ascii="仿宋_GB2312" w:hAnsi="仿宋_GB2312" w:cs="仿宋_GB2312"/>
          <w:szCs w:val="32"/>
        </w:rPr>
        <w:t>，侨博一方面通过馆内</w:t>
      </w:r>
      <w:r>
        <w:rPr>
          <w:rFonts w:ascii="仿宋_GB2312" w:hAnsi="仿宋_GB2312" w:cs="仿宋_GB2312"/>
          <w:szCs w:val="32"/>
        </w:rPr>
        <w:t>务虚会的形式集思广益</w:t>
      </w:r>
      <w:r>
        <w:rPr>
          <w:rFonts w:hint="eastAsia" w:ascii="仿宋_GB2312" w:hAnsi="仿宋_GB2312" w:cs="仿宋_GB2312"/>
          <w:szCs w:val="32"/>
        </w:rPr>
        <w:t>，</w:t>
      </w:r>
      <w:r>
        <w:rPr>
          <w:rFonts w:ascii="仿宋_GB2312" w:hAnsi="仿宋_GB2312" w:cs="仿宋_GB2312"/>
          <w:szCs w:val="32"/>
        </w:rPr>
        <w:t>形成意见建议台账，推动各部门研究采纳，并作为</w:t>
      </w:r>
      <w:r>
        <w:rPr>
          <w:rFonts w:hint="eastAsia" w:ascii="宋体" w:hAnsi="宋体" w:eastAsia="宋体" w:cs="宋体"/>
          <w:szCs w:val="32"/>
        </w:rPr>
        <w:t>2021</w:t>
      </w:r>
      <w:r>
        <w:rPr>
          <w:rFonts w:ascii="仿宋_GB2312" w:hAnsi="仿宋_GB2312" w:cs="仿宋_GB2312"/>
          <w:szCs w:val="32"/>
        </w:rPr>
        <w:t>年博物馆各部门工作的重要参考依据</w:t>
      </w:r>
      <w:r>
        <w:rPr>
          <w:rFonts w:hint="eastAsia" w:ascii="仿宋_GB2312" w:hAnsi="仿宋_GB2312" w:cs="仿宋_GB2312"/>
          <w:szCs w:val="32"/>
        </w:rPr>
        <w:t>；</w:t>
      </w:r>
      <w:r>
        <w:rPr>
          <w:rFonts w:ascii="仿宋_GB2312" w:hAnsi="仿宋_GB2312" w:cs="仿宋_GB2312"/>
          <w:szCs w:val="32"/>
        </w:rPr>
        <w:t>另一方面</w:t>
      </w:r>
      <w:r>
        <w:rPr>
          <w:rFonts w:hint="eastAsia" w:ascii="仿宋_GB2312" w:hAnsi="仿宋_GB2312" w:cs="仿宋_GB2312"/>
          <w:szCs w:val="32"/>
        </w:rPr>
        <w:t>，</w:t>
      </w:r>
      <w:r>
        <w:rPr>
          <w:rFonts w:hint="eastAsia" w:ascii="宋体" w:hAnsi="宋体" w:eastAsia="宋体" w:cs="宋体"/>
          <w:szCs w:val="32"/>
        </w:rPr>
        <w:t>8</w:t>
      </w:r>
      <w:r>
        <w:rPr>
          <w:rFonts w:ascii="仿宋_GB2312" w:hAnsi="仿宋_GB2312" w:cs="仿宋_GB2312"/>
          <w:szCs w:val="32"/>
        </w:rPr>
        <w:t>次组织馆内干部到首都博物馆、新华网、北京联合大学、字节跳动公司、郭沫若纪念</w:t>
      </w:r>
      <w:r>
        <w:rPr>
          <w:rFonts w:hint="eastAsia" w:ascii="仿宋_GB2312" w:hAnsi="仿宋_GB2312" w:cs="仿宋_GB2312"/>
          <w:szCs w:val="32"/>
        </w:rPr>
        <w:t>馆、汽车博物馆、故宫博物院、中国文物报社等单位做调研并座谈，调研涵盖国家一级馆的建设申报、文创产品开发经营、新媒体运营管理、网络直播策划实施等侨博亟需改进发展的业务</w:t>
      </w:r>
      <w:r>
        <w:rPr>
          <w:rFonts w:ascii="仿宋_GB2312" w:hAnsi="仿宋_GB2312" w:cs="仿宋_GB2312"/>
          <w:szCs w:val="32"/>
        </w:rPr>
        <w:t>。在</w:t>
      </w:r>
      <w:r>
        <w:rPr>
          <w:rFonts w:hint="eastAsia" w:ascii="仿宋_GB2312" w:hAnsi="仿宋_GB2312" w:cs="仿宋_GB2312"/>
          <w:szCs w:val="32"/>
        </w:rPr>
        <w:t>此基础上</w:t>
      </w:r>
      <w:r>
        <w:rPr>
          <w:rFonts w:ascii="仿宋_GB2312" w:hAnsi="仿宋_GB2312" w:cs="仿宋_GB2312"/>
          <w:szCs w:val="32"/>
        </w:rPr>
        <w:t>，侨博形成</w:t>
      </w:r>
      <w:r>
        <w:rPr>
          <w:rFonts w:hint="eastAsia" w:ascii="仿宋_GB2312" w:hAnsi="仿宋_GB2312" w:cs="仿宋_GB2312"/>
          <w:szCs w:val="32"/>
        </w:rPr>
        <w:t>了</w:t>
      </w:r>
      <w:r>
        <w:rPr>
          <w:rFonts w:hint="eastAsia" w:ascii="宋体" w:hAnsi="宋体" w:eastAsia="宋体" w:cs="宋体"/>
          <w:szCs w:val="32"/>
        </w:rPr>
        <w:t>2021</w:t>
      </w:r>
      <w:r>
        <w:rPr>
          <w:rFonts w:ascii="仿宋_GB2312" w:hAnsi="仿宋_GB2312" w:cs="仿宋_GB2312"/>
          <w:szCs w:val="32"/>
        </w:rPr>
        <w:t>年工作计划台账，与每一位干部签订了</w:t>
      </w:r>
      <w:r>
        <w:rPr>
          <w:rFonts w:hint="eastAsia" w:ascii="仿宋_GB2312" w:hAnsi="仿宋_GB2312" w:cs="仿宋_GB2312"/>
          <w:szCs w:val="32"/>
        </w:rPr>
        <w:t>《工作目标责任书》，明确考核目标，</w:t>
      </w:r>
      <w:r>
        <w:rPr>
          <w:rFonts w:ascii="仿宋_GB2312" w:hAnsi="仿宋_GB2312" w:cs="仿宋_GB2312"/>
          <w:szCs w:val="32"/>
        </w:rPr>
        <w:t>确保各项工作有序开展，不打乱仗。</w:t>
      </w:r>
    </w:p>
    <w:p>
      <w:pPr>
        <w:pStyle w:val="55"/>
        <w:ind w:left="643" w:firstLine="0" w:firstLineChars="0"/>
        <w:rPr>
          <w:rFonts w:hint="eastAsia" w:ascii="黑体" w:hAnsi="黑体" w:eastAsia="黑体" w:cs="黑体"/>
          <w:b/>
          <w:bCs/>
          <w:szCs w:val="32"/>
        </w:rPr>
      </w:pPr>
      <w:r>
        <w:rPr>
          <w:rFonts w:hint="eastAsia" w:ascii="黑体" w:hAnsi="黑体" w:eastAsia="黑体" w:cs="黑体"/>
          <w:b/>
          <w:bCs/>
          <w:szCs w:val="32"/>
        </w:rPr>
        <w:t>三、借政策东风，全力以赴，推动建立支持侨博发展的</w:t>
      </w:r>
    </w:p>
    <w:p>
      <w:pPr>
        <w:rPr>
          <w:rFonts w:ascii="黑体" w:hAnsi="黑体" w:eastAsia="黑体" w:cs="黑体"/>
          <w:b/>
          <w:bCs/>
          <w:szCs w:val="32"/>
        </w:rPr>
      </w:pPr>
      <w:r>
        <w:rPr>
          <w:rFonts w:hint="eastAsia" w:ascii="黑体" w:hAnsi="黑体" w:eastAsia="黑体" w:cs="黑体"/>
          <w:b/>
          <w:bCs/>
          <w:szCs w:val="32"/>
        </w:rPr>
        <w:t>制度框架</w:t>
      </w:r>
    </w:p>
    <w:p>
      <w:pPr>
        <w:ind w:firstLine="645"/>
        <w:rPr>
          <w:rFonts w:ascii="仿宋_GB2312" w:hAnsiTheme="minorHAnsi"/>
          <w:szCs w:val="32"/>
        </w:rPr>
      </w:pPr>
      <w:r>
        <w:rPr>
          <w:rFonts w:ascii="仿宋_GB2312" w:hAnsiTheme="minorHAnsi"/>
          <w:szCs w:val="32"/>
        </w:rPr>
        <w:t>中宣部、国家文物局等</w:t>
      </w:r>
      <w:r>
        <w:rPr>
          <w:rFonts w:hint="eastAsia" w:ascii="宋体" w:hAnsi="宋体" w:eastAsia="宋体" w:cs="宋体"/>
          <w:szCs w:val="32"/>
        </w:rPr>
        <w:t>9</w:t>
      </w:r>
      <w:r>
        <w:rPr>
          <w:rFonts w:ascii="仿宋_GB2312" w:hAnsiTheme="minorHAnsi"/>
          <w:szCs w:val="32"/>
        </w:rPr>
        <w:t>部门联合发布《关于推进博物馆改革发展的指导意见》后</w:t>
      </w:r>
      <w:r>
        <w:rPr>
          <w:rFonts w:hint="eastAsia" w:ascii="仿宋_GB2312" w:hAnsiTheme="minorHAnsi"/>
          <w:szCs w:val="32"/>
        </w:rPr>
        <w:t>，</w:t>
      </w:r>
      <w:r>
        <w:rPr>
          <w:rFonts w:ascii="仿宋_GB2312" w:hAnsiTheme="minorHAnsi"/>
          <w:szCs w:val="32"/>
        </w:rPr>
        <w:t>十三届全国政协围绕</w:t>
      </w:r>
      <w:r>
        <w:rPr>
          <w:rFonts w:hint="eastAsia" w:ascii="仿宋_GB2312" w:hAnsiTheme="minorHAnsi"/>
          <w:szCs w:val="32"/>
        </w:rPr>
        <w:t>“推进新时代博物馆事业高质量发展”召开</w:t>
      </w:r>
      <w:r>
        <w:rPr>
          <w:rFonts w:ascii="仿宋_GB2312" w:hAnsiTheme="minorHAnsi"/>
          <w:szCs w:val="32"/>
        </w:rPr>
        <w:t>第</w:t>
      </w:r>
      <w:r>
        <w:rPr>
          <w:rFonts w:hint="eastAsia" w:ascii="宋体" w:hAnsi="宋体" w:eastAsia="宋体" w:cs="宋体"/>
          <w:szCs w:val="32"/>
        </w:rPr>
        <w:t>50</w:t>
      </w:r>
      <w:r>
        <w:rPr>
          <w:rFonts w:ascii="仿宋_GB2312" w:hAnsiTheme="minorHAnsi"/>
          <w:szCs w:val="32"/>
        </w:rPr>
        <w:t>次双周协商座谈会，侨博第一时间组织全馆人员集体学习</w:t>
      </w:r>
      <w:r>
        <w:rPr>
          <w:rFonts w:hint="eastAsia" w:ascii="仿宋_GB2312" w:hAnsiTheme="minorHAnsi"/>
          <w:szCs w:val="32"/>
        </w:rPr>
        <w:t>，起草</w:t>
      </w:r>
      <w:r>
        <w:rPr>
          <w:rFonts w:ascii="仿宋_GB2312" w:hAnsiTheme="minorHAnsi"/>
          <w:szCs w:val="32"/>
        </w:rPr>
        <w:t>了实施意见建议总体报告</w:t>
      </w:r>
      <w:r>
        <w:rPr>
          <w:rFonts w:hint="eastAsia" w:ascii="仿宋_GB2312" w:hAnsiTheme="minorHAnsi"/>
          <w:szCs w:val="32"/>
        </w:rPr>
        <w:t>，</w:t>
      </w:r>
      <w:r>
        <w:rPr>
          <w:rFonts w:ascii="仿宋_GB2312" w:hAnsiTheme="minorHAnsi"/>
          <w:szCs w:val="32"/>
        </w:rPr>
        <w:t>对《指导意见》</w:t>
      </w:r>
      <w:r>
        <w:rPr>
          <w:rFonts w:hint="eastAsia" w:ascii="宋体" w:hAnsi="宋体" w:eastAsia="宋体" w:cs="宋体"/>
          <w:szCs w:val="32"/>
        </w:rPr>
        <w:t>5</w:t>
      </w:r>
      <w:r>
        <w:rPr>
          <w:rFonts w:ascii="仿宋_GB2312" w:hAnsiTheme="minorHAnsi"/>
          <w:szCs w:val="32"/>
        </w:rPr>
        <w:t>个部分</w:t>
      </w:r>
      <w:r>
        <w:rPr>
          <w:rFonts w:hint="eastAsia" w:ascii="宋体" w:hAnsi="宋体" w:eastAsia="宋体" w:cs="宋体"/>
          <w:szCs w:val="32"/>
        </w:rPr>
        <w:t>21</w:t>
      </w:r>
      <w:r>
        <w:rPr>
          <w:rFonts w:ascii="仿宋_GB2312" w:hAnsiTheme="minorHAnsi"/>
          <w:szCs w:val="32"/>
        </w:rPr>
        <w:t>个方面逐条做了解读，提出了有针对性的</w:t>
      </w:r>
      <w:r>
        <w:rPr>
          <w:rFonts w:hint="eastAsia" w:ascii="宋体" w:hAnsi="宋体" w:eastAsia="宋体" w:cs="宋体"/>
          <w:szCs w:val="32"/>
        </w:rPr>
        <w:t>64</w:t>
      </w:r>
      <w:r>
        <w:rPr>
          <w:rFonts w:ascii="仿宋_GB2312" w:hAnsiTheme="minorHAnsi"/>
          <w:szCs w:val="32"/>
        </w:rPr>
        <w:t>条设想。隋军副主席对此报告高度肯定，</w:t>
      </w:r>
      <w:r>
        <w:rPr>
          <w:rFonts w:hint="eastAsia" w:ascii="宋体" w:hAnsi="宋体" w:eastAsia="宋体" w:cs="宋体"/>
          <w:szCs w:val="32"/>
        </w:rPr>
        <w:t>6</w:t>
      </w:r>
      <w:r>
        <w:rPr>
          <w:rFonts w:ascii="仿宋_GB2312" w:hAnsiTheme="minorHAnsi"/>
          <w:szCs w:val="32"/>
        </w:rPr>
        <w:t>月</w:t>
      </w:r>
      <w:r>
        <w:rPr>
          <w:rFonts w:hint="eastAsia" w:ascii="宋体" w:hAnsi="宋体" w:eastAsia="宋体" w:cs="宋体"/>
          <w:szCs w:val="32"/>
        </w:rPr>
        <w:t>9</w:t>
      </w:r>
      <w:r>
        <w:rPr>
          <w:rFonts w:ascii="仿宋_GB2312" w:hAnsiTheme="minorHAnsi"/>
          <w:szCs w:val="32"/>
        </w:rPr>
        <w:t>日来馆当面听取汇报，</w:t>
      </w:r>
      <w:r>
        <w:rPr>
          <w:rFonts w:hint="eastAsia" w:ascii="宋体" w:hAnsi="宋体" w:eastAsia="宋体" w:cs="宋体"/>
          <w:szCs w:val="32"/>
        </w:rPr>
        <w:t>6</w:t>
      </w:r>
      <w:r>
        <w:rPr>
          <w:rFonts w:ascii="仿宋_GB2312" w:hAnsiTheme="minorHAnsi"/>
          <w:szCs w:val="32"/>
        </w:rPr>
        <w:t>月</w:t>
      </w:r>
      <w:r>
        <w:rPr>
          <w:rFonts w:hint="eastAsia" w:ascii="宋体" w:hAnsi="宋体" w:eastAsia="宋体" w:cs="宋体"/>
          <w:szCs w:val="32"/>
        </w:rPr>
        <w:t>15</w:t>
      </w:r>
      <w:r>
        <w:rPr>
          <w:rFonts w:ascii="仿宋_GB2312" w:hAnsiTheme="minorHAnsi"/>
          <w:szCs w:val="32"/>
        </w:rPr>
        <w:t>日将此件批</w:t>
      </w:r>
      <w:r>
        <w:rPr>
          <w:rFonts w:hint="eastAsia" w:ascii="仿宋_GB2312" w:hAnsiTheme="minorHAnsi"/>
          <w:szCs w:val="32"/>
        </w:rPr>
        <w:t>转</w:t>
      </w:r>
      <w:r>
        <w:rPr>
          <w:rFonts w:ascii="仿宋_GB2312" w:hAnsiTheme="minorHAnsi"/>
          <w:szCs w:val="32"/>
        </w:rPr>
        <w:t>机关有关部门认真研究</w:t>
      </w:r>
      <w:r>
        <w:rPr>
          <w:rFonts w:hint="eastAsia" w:ascii="仿宋_GB2312" w:hAnsiTheme="minorHAnsi"/>
          <w:szCs w:val="32"/>
        </w:rPr>
        <w:t>，有力推动了支持侨博发展的体制机制建设。</w:t>
      </w:r>
    </w:p>
    <w:p>
      <w:pPr>
        <w:ind w:firstLine="680" w:firstLineChars="200"/>
        <w:rPr>
          <w:rFonts w:ascii="黑体" w:hAnsi="黑体" w:eastAsia="黑体" w:cs="黑体"/>
          <w:b/>
          <w:bCs/>
          <w:szCs w:val="32"/>
        </w:rPr>
      </w:pPr>
      <w:r>
        <w:rPr>
          <w:rFonts w:hint="eastAsia" w:ascii="黑体" w:hAnsi="黑体" w:eastAsia="黑体" w:cs="黑体"/>
          <w:b/>
          <w:bCs/>
          <w:szCs w:val="32"/>
        </w:rPr>
        <w:t>四、继续以线上线下融合发展，推进侨博展览和观展方式创新</w:t>
      </w:r>
    </w:p>
    <w:p>
      <w:pPr>
        <w:ind w:firstLine="680" w:firstLineChars="200"/>
        <w:rPr>
          <w:rFonts w:hint="eastAsia"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楷体_GB2312" w:cs="楷体_GB2312"/>
          <w:bCs/>
          <w:szCs w:val="32"/>
        </w:rPr>
        <w:t>在原有展览直播模式的基础上，今年重点在直播内容和形式创新上下功夫</w:t>
      </w:r>
      <w:r>
        <w:rPr>
          <w:rFonts w:hint="eastAsia" w:ascii="仿宋_GB2312" w:hAnsi="仿宋_GB2312" w:cs="仿宋_GB2312"/>
          <w:szCs w:val="32"/>
        </w:rPr>
        <w:t>。</w:t>
      </w:r>
      <w:r>
        <w:rPr>
          <w:rFonts w:hint="eastAsia" w:eastAsia="宋体" w:cs="宋体"/>
          <w:szCs w:val="32"/>
        </w:rPr>
        <w:t>2</w:t>
      </w:r>
      <w:r>
        <w:rPr>
          <w:rFonts w:hint="eastAsia" w:ascii="仿宋_GB2312" w:hAnsi="仿宋_GB2312" w:cs="仿宋_GB2312"/>
          <w:szCs w:val="32"/>
        </w:rPr>
        <w:t>月</w:t>
      </w:r>
      <w:r>
        <w:rPr>
          <w:rFonts w:hint="eastAsia" w:eastAsia="宋体" w:cs="宋体"/>
          <w:szCs w:val="32"/>
        </w:rPr>
        <w:t>8</w:t>
      </w:r>
      <w:r>
        <w:rPr>
          <w:rFonts w:hint="eastAsia" w:ascii="仿宋_GB2312" w:hAnsi="仿宋_GB2312" w:cs="仿宋_GB2312"/>
          <w:szCs w:val="32"/>
        </w:rPr>
        <w:t>日推出“云游侨博”新春大联欢节目以博物馆+网络直播+文艺的方式，深受观众欢迎，单场在线观看人数超过</w:t>
      </w:r>
      <w:r>
        <w:rPr>
          <w:rFonts w:hint="eastAsia" w:eastAsia="宋体" w:cs="宋体"/>
          <w:szCs w:val="32"/>
        </w:rPr>
        <w:t>180</w:t>
      </w:r>
      <w:r>
        <w:rPr>
          <w:rFonts w:hint="eastAsia" w:ascii="仿宋_GB2312" w:hAnsi="仿宋_GB2312" w:cs="仿宋_GB2312"/>
          <w:szCs w:val="32"/>
        </w:rPr>
        <w:t>万人次；</w:t>
      </w:r>
      <w:r>
        <w:rPr>
          <w:rFonts w:hint="eastAsia" w:ascii="宋体" w:hAnsi="宋体" w:eastAsia="宋体" w:cs="宋体"/>
          <w:szCs w:val="32"/>
        </w:rPr>
        <w:t>5</w:t>
      </w:r>
      <w:r>
        <w:rPr>
          <w:rFonts w:hint="eastAsia" w:ascii="仿宋_GB2312" w:hAnsi="仿宋_GB2312" w:cs="仿宋_GB2312"/>
          <w:szCs w:val="32"/>
        </w:rPr>
        <w:t>月</w:t>
      </w:r>
      <w:r>
        <w:rPr>
          <w:rFonts w:hint="eastAsia" w:ascii="宋体" w:hAnsi="宋体" w:eastAsia="宋体" w:cs="宋体"/>
          <w:szCs w:val="32"/>
        </w:rPr>
        <w:t>21</w:t>
      </w:r>
      <w:r>
        <w:rPr>
          <w:rFonts w:hint="eastAsia" w:ascii="仿宋_GB2312" w:hAnsi="仿宋_GB2312" w:cs="仿宋_GB2312"/>
          <w:szCs w:val="32"/>
        </w:rPr>
        <w:t>日侨与茶的故事直播节目在多个网络平台推出，单场在线观看人数达到</w:t>
      </w:r>
      <w:r>
        <w:rPr>
          <w:rFonts w:hint="eastAsia" w:ascii="宋体" w:hAnsi="宋体" w:eastAsia="宋体" w:cs="宋体"/>
          <w:szCs w:val="32"/>
        </w:rPr>
        <w:t>246</w:t>
      </w:r>
      <w:r>
        <w:rPr>
          <w:rFonts w:hint="eastAsia" w:ascii="仿宋_GB2312" w:hAnsi="仿宋_GB2312" w:cs="仿宋_GB2312"/>
          <w:szCs w:val="32"/>
        </w:rPr>
        <w:t>万</w:t>
      </w:r>
      <w:r>
        <w:rPr>
          <w:rFonts w:ascii="仿宋_GB2312" w:hAnsi="仿宋_GB2312" w:cs="仿宋_GB2312"/>
          <w:szCs w:val="32"/>
        </w:rPr>
        <w:t>人次</w:t>
      </w:r>
      <w:r>
        <w:rPr>
          <w:rFonts w:hint="eastAsia" w:ascii="仿宋_GB2312" w:hAnsi="仿宋_GB2312" w:cs="仿宋_GB2312"/>
          <w:szCs w:val="32"/>
        </w:rPr>
        <w:t>。截止目前，今年已推出</w:t>
      </w:r>
      <w:r>
        <w:rPr>
          <w:rFonts w:hint="eastAsia" w:ascii="宋体" w:hAnsi="宋体" w:eastAsia="宋体" w:cs="宋体"/>
          <w:szCs w:val="32"/>
        </w:rPr>
        <w:t>11</w:t>
      </w:r>
      <w:r>
        <w:rPr>
          <w:rFonts w:hint="eastAsia" w:ascii="仿宋_GB2312" w:cs="宋体"/>
          <w:szCs w:val="32"/>
        </w:rPr>
        <w:t>期</w:t>
      </w:r>
      <w:r>
        <w:rPr>
          <w:rFonts w:hint="eastAsia" w:ascii="宋体" w:hAnsi="宋体" w:eastAsia="宋体" w:cs="宋体"/>
          <w:szCs w:val="32"/>
        </w:rPr>
        <w:t>21</w:t>
      </w:r>
      <w:r>
        <w:rPr>
          <w:rFonts w:hint="eastAsia" w:ascii="仿宋_GB2312" w:cs="宋体"/>
          <w:szCs w:val="32"/>
        </w:rPr>
        <w:t>场直播节目，累计观看人数</w:t>
      </w:r>
      <w:r>
        <w:rPr>
          <w:rFonts w:ascii="仿宋_GB2312" w:cs="宋体"/>
          <w:szCs w:val="32"/>
        </w:rPr>
        <w:t>达到</w:t>
      </w:r>
      <w:r>
        <w:rPr>
          <w:rFonts w:hint="eastAsia" w:ascii="宋体" w:hAnsi="宋体" w:eastAsia="宋体" w:cs="宋体"/>
          <w:szCs w:val="32"/>
        </w:rPr>
        <w:t>26338035</w:t>
      </w:r>
      <w:r>
        <w:rPr>
          <w:rFonts w:ascii="仿宋_GB2312" w:cs="宋体"/>
          <w:szCs w:val="32"/>
        </w:rPr>
        <w:t>人次</w:t>
      </w:r>
      <w:r>
        <w:rPr>
          <w:rFonts w:hint="eastAsia" w:ascii="仿宋_GB2312" w:cs="宋体"/>
          <w:szCs w:val="32"/>
        </w:rPr>
        <w:t>，提前半年多完成了五年发展规划确定的每年</w:t>
      </w:r>
      <w:r>
        <w:rPr>
          <w:rFonts w:hint="eastAsia" w:ascii="宋体" w:hAnsi="宋体" w:eastAsia="宋体" w:cs="宋体"/>
          <w:szCs w:val="32"/>
        </w:rPr>
        <w:t>1000</w:t>
      </w:r>
      <w:r>
        <w:rPr>
          <w:rFonts w:hint="eastAsia" w:ascii="仿宋_GB2312" w:cs="宋体"/>
          <w:szCs w:val="32"/>
        </w:rPr>
        <w:t>万在线观看人数目标。</w:t>
      </w:r>
      <w:r>
        <w:rPr>
          <w:rFonts w:hint="eastAsia" w:ascii="楷体_GB2312" w:hAnsi="楷体_GB2312" w:eastAsia="楷体_GB2312" w:cs="楷体_GB2312"/>
          <w:b/>
          <w:bCs/>
          <w:szCs w:val="32"/>
        </w:rPr>
        <w:t>二是</w:t>
      </w:r>
      <w:r>
        <w:rPr>
          <w:rFonts w:hint="eastAsia" w:ascii="仿宋_GB2312" w:hAnsi="楷体_GB2312" w:cs="楷体_GB2312"/>
          <w:bCs/>
          <w:szCs w:val="32"/>
        </w:rPr>
        <w:t>坚持</w:t>
      </w:r>
      <w:r>
        <w:rPr>
          <w:rFonts w:hint="eastAsia" w:ascii="宋体" w:hAnsi="宋体" w:eastAsia="宋体" w:cs="宋体"/>
          <w:szCs w:val="32"/>
        </w:rPr>
        <w:t>VR</w:t>
      </w:r>
      <w:r>
        <w:rPr>
          <w:rFonts w:ascii="仿宋_GB2312" w:hAnsi="仿宋_GB2312" w:cs="仿宋_GB2312"/>
          <w:szCs w:val="32"/>
        </w:rPr>
        <w:t>网上展馆的</w:t>
      </w:r>
      <w:r>
        <w:rPr>
          <w:rFonts w:hint="eastAsia" w:ascii="仿宋_GB2312" w:hAnsi="仿宋_GB2312" w:cs="仿宋_GB2312"/>
          <w:szCs w:val="32"/>
        </w:rPr>
        <w:t>内容</w:t>
      </w:r>
      <w:r>
        <w:rPr>
          <w:rFonts w:ascii="仿宋_GB2312" w:hAnsi="仿宋_GB2312" w:cs="仿宋_GB2312"/>
          <w:szCs w:val="32"/>
        </w:rPr>
        <w:t>更新</w:t>
      </w:r>
      <w:r>
        <w:rPr>
          <w:rFonts w:hint="eastAsia" w:ascii="仿宋_GB2312" w:hAnsi="仿宋_GB2312" w:cs="仿宋_GB2312"/>
          <w:szCs w:val="32"/>
        </w:rPr>
        <w:t>，</w:t>
      </w:r>
      <w:r>
        <w:rPr>
          <w:rFonts w:ascii="仿宋_GB2312" w:hAnsi="仿宋_GB2312" w:cs="仿宋_GB2312"/>
          <w:szCs w:val="32"/>
        </w:rPr>
        <w:t>全年完成</w:t>
      </w:r>
      <w:r>
        <w:rPr>
          <w:rFonts w:hint="eastAsia" w:ascii="宋体" w:hAnsi="宋体" w:eastAsia="宋体" w:cs="宋体"/>
          <w:szCs w:val="32"/>
        </w:rPr>
        <w:t>3</w:t>
      </w:r>
      <w:r>
        <w:rPr>
          <w:rFonts w:hint="eastAsia" w:ascii="仿宋_GB2312" w:hAnsi="仿宋_GB2312" w:cs="仿宋_GB2312"/>
          <w:szCs w:val="32"/>
        </w:rPr>
        <w:t>个临时展览的</w:t>
      </w:r>
      <w:r>
        <w:rPr>
          <w:rFonts w:hint="eastAsia" w:ascii="宋体" w:hAnsi="宋体" w:eastAsia="宋体" w:cs="宋体"/>
          <w:szCs w:val="32"/>
        </w:rPr>
        <w:t>VR</w:t>
      </w:r>
      <w:r>
        <w:rPr>
          <w:rFonts w:hint="eastAsia" w:ascii="仿宋_GB2312" w:hAnsi="仿宋_GB2312" w:cs="仿宋_GB2312"/>
          <w:szCs w:val="32"/>
        </w:rPr>
        <w:t>制作上线。截止</w:t>
      </w:r>
      <w:r>
        <w:rPr>
          <w:rFonts w:ascii="仿宋_GB2312" w:hAnsi="仿宋_GB2312" w:cs="仿宋_GB2312"/>
          <w:szCs w:val="32"/>
        </w:rPr>
        <w:t>目前</w:t>
      </w:r>
      <w:r>
        <w:rPr>
          <w:rFonts w:hint="eastAsia" w:ascii="仿宋_GB2312" w:hAnsi="仿宋_GB2312" w:cs="仿宋_GB2312"/>
          <w:szCs w:val="32"/>
        </w:rPr>
        <w:t>，</w:t>
      </w:r>
      <w:r>
        <w:rPr>
          <w:rFonts w:hint="eastAsia" w:ascii="宋体" w:hAnsi="宋体" w:eastAsia="宋体" w:cs="宋体"/>
          <w:szCs w:val="32"/>
        </w:rPr>
        <w:t>2021</w:t>
      </w:r>
      <w:r>
        <w:rPr>
          <w:rFonts w:ascii="仿宋_GB2312" w:hAnsi="仿宋_GB2312" w:cs="仿宋_GB2312"/>
          <w:szCs w:val="32"/>
        </w:rPr>
        <w:t>年VR网上展馆浏览量为</w:t>
      </w:r>
      <w:r>
        <w:rPr>
          <w:rFonts w:hint="eastAsia" w:ascii="宋体" w:hAnsi="宋体" w:eastAsia="宋体" w:cs="宋体"/>
          <w:szCs w:val="32"/>
        </w:rPr>
        <w:t>3813292</w:t>
      </w:r>
      <w:r>
        <w:rPr>
          <w:rFonts w:ascii="仿宋_GB2312" w:hAnsi="仿宋_GB2312" w:cs="仿宋_GB2312"/>
          <w:szCs w:val="32"/>
        </w:rPr>
        <w:t>次，日均</w:t>
      </w:r>
      <w:r>
        <w:rPr>
          <w:rFonts w:hint="eastAsia" w:ascii="宋体" w:hAnsi="宋体" w:eastAsia="宋体" w:cs="宋体"/>
          <w:szCs w:val="32"/>
        </w:rPr>
        <w:t>12543</w:t>
      </w:r>
      <w:r>
        <w:rPr>
          <w:rFonts w:ascii="仿宋_GB2312" w:hAnsi="仿宋_GB2312" w:cs="仿宋_GB2312"/>
          <w:szCs w:val="32"/>
        </w:rPr>
        <w:t>次，海外浏览量为</w:t>
      </w:r>
      <w:r>
        <w:rPr>
          <w:rFonts w:hint="eastAsia" w:ascii="宋体" w:hAnsi="宋体" w:eastAsia="宋体" w:cs="宋体"/>
          <w:szCs w:val="32"/>
        </w:rPr>
        <w:t>2545607</w:t>
      </w:r>
      <w:r>
        <w:rPr>
          <w:rFonts w:ascii="仿宋_GB2312" w:hAnsi="仿宋_GB2312" w:cs="仿宋_GB2312"/>
          <w:szCs w:val="32"/>
        </w:rPr>
        <w:t>次，占总浏览量的</w:t>
      </w:r>
      <w:r>
        <w:rPr>
          <w:rFonts w:hint="eastAsia" w:ascii="宋体" w:hAnsi="宋体" w:eastAsia="宋体" w:cs="宋体"/>
          <w:szCs w:val="32"/>
        </w:rPr>
        <w:t>66.76%</w:t>
      </w:r>
      <w:r>
        <w:rPr>
          <w:rFonts w:hint="eastAsia" w:ascii="仿宋_GB2312" w:hAnsi="仿宋_GB2312" w:cs="仿宋_GB2312"/>
          <w:szCs w:val="32"/>
        </w:rPr>
        <w:t>。</w:t>
      </w:r>
      <w:r>
        <w:rPr>
          <w:rFonts w:hint="eastAsia" w:ascii="楷体_GB2312" w:hAnsi="楷体_GB2312" w:eastAsia="楷体_GB2312" w:cs="楷体_GB2312"/>
          <w:b/>
          <w:bCs/>
          <w:szCs w:val="32"/>
        </w:rPr>
        <w:t>三是</w:t>
      </w:r>
      <w:r>
        <w:rPr>
          <w:rFonts w:ascii="仿宋_GB2312" w:hAnsi="仿宋_GB2312" w:cs="仿宋_GB2312"/>
          <w:szCs w:val="32"/>
        </w:rPr>
        <w:t>馆歌《侨爱中华》自</w:t>
      </w:r>
      <w:r>
        <w:rPr>
          <w:rFonts w:hint="eastAsia" w:ascii="宋体" w:hAnsi="宋体" w:eastAsia="宋体" w:cs="宋体"/>
          <w:szCs w:val="32"/>
        </w:rPr>
        <w:t>2020</w:t>
      </w:r>
      <w:r>
        <w:rPr>
          <w:rFonts w:ascii="仿宋_GB2312" w:hAnsi="仿宋_GB2312" w:cs="仿宋_GB2312"/>
          <w:szCs w:val="32"/>
        </w:rPr>
        <w:t>年</w:t>
      </w:r>
      <w:r>
        <w:rPr>
          <w:rFonts w:hint="eastAsia" w:ascii="宋体" w:hAnsi="宋体" w:eastAsia="宋体" w:cs="宋体"/>
          <w:szCs w:val="32"/>
        </w:rPr>
        <w:t>11</w:t>
      </w:r>
      <w:r>
        <w:rPr>
          <w:rFonts w:hint="eastAsia" w:ascii="仿宋_GB2312" w:hAnsi="仿宋_GB2312" w:cs="仿宋_GB2312"/>
          <w:szCs w:val="32"/>
        </w:rPr>
        <w:t>月首发上线以来，</w:t>
      </w:r>
      <w:r>
        <w:rPr>
          <w:rFonts w:ascii="仿宋_GB2312" w:hAnsi="仿宋_GB2312" w:cs="仿宋_GB2312"/>
          <w:szCs w:val="32"/>
        </w:rPr>
        <w:t>播放量达到</w:t>
      </w:r>
      <w:r>
        <w:rPr>
          <w:rFonts w:hint="eastAsia" w:ascii="宋体" w:hAnsi="宋体" w:eastAsia="宋体" w:cs="宋体"/>
          <w:szCs w:val="32"/>
        </w:rPr>
        <w:t>7668568</w:t>
      </w:r>
      <w:r>
        <w:rPr>
          <w:rFonts w:ascii="仿宋_GB2312" w:hAnsi="仿宋_GB2312" w:cs="仿宋_GB2312"/>
          <w:szCs w:val="32"/>
        </w:rPr>
        <w:t>次,日均播放</w:t>
      </w:r>
      <w:r>
        <w:rPr>
          <w:rFonts w:hint="eastAsia" w:ascii="宋体" w:hAnsi="宋体" w:eastAsia="宋体" w:cs="宋体"/>
          <w:szCs w:val="32"/>
        </w:rPr>
        <w:t>21010</w:t>
      </w:r>
      <w:r>
        <w:rPr>
          <w:rFonts w:ascii="仿宋_GB2312" w:hAnsi="仿宋_GB2312" w:cs="仿宋_GB2312"/>
          <w:szCs w:val="32"/>
        </w:rPr>
        <w:t>次</w:t>
      </w:r>
      <w:r>
        <w:rPr>
          <w:rFonts w:hint="eastAsia" w:ascii="仿宋_GB2312" w:hAnsi="仿宋_GB2312" w:cs="仿宋_GB2312"/>
          <w:szCs w:val="32"/>
        </w:rPr>
        <w:t>。</w:t>
      </w:r>
    </w:p>
    <w:p>
      <w:pPr>
        <w:ind w:firstLine="680" w:firstLineChars="200"/>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eastAsia="zh-CN"/>
        </w:rPr>
        <w:drawing>
          <wp:inline distT="0" distB="0" distL="114300" distR="114300">
            <wp:extent cx="2991485" cy="2699385"/>
            <wp:effectExtent l="0" t="0" r="18415" b="5715"/>
            <wp:docPr id="6" name="图片 6" descr="1、中国华侨历史博物馆持续开展“云游侨博”网络直播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中国华侨历史博物馆持续开展“云游侨博”网络直播活动"/>
                    <pic:cNvPicPr>
                      <a:picLocks noChangeAspect="1"/>
                    </pic:cNvPicPr>
                  </pic:nvPicPr>
                  <pic:blipFill>
                    <a:blip r:embed="rId8"/>
                    <a:stretch>
                      <a:fillRect/>
                    </a:stretch>
                  </pic:blipFill>
                  <pic:spPr>
                    <a:xfrm>
                      <a:off x="0" y="0"/>
                      <a:ext cx="2991485" cy="2699385"/>
                    </a:xfrm>
                    <a:prstGeom prst="rect">
                      <a:avLst/>
                    </a:prstGeom>
                  </pic:spPr>
                </pic:pic>
              </a:graphicData>
            </a:graphic>
          </wp:inline>
        </w:drawing>
      </w:r>
    </w:p>
    <w:p>
      <w:pPr>
        <w:ind w:firstLine="680" w:firstLineChars="200"/>
        <w:rPr>
          <w:rFonts w:ascii="黑体" w:hAnsi="黑体" w:eastAsia="黑体" w:cs="黑体"/>
          <w:b/>
          <w:bCs/>
          <w:szCs w:val="32"/>
        </w:rPr>
      </w:pPr>
      <w:r>
        <w:rPr>
          <w:rFonts w:hint="eastAsia" w:ascii="黑体" w:hAnsi="黑体" w:eastAsia="黑体" w:cs="黑体"/>
          <w:b/>
          <w:bCs/>
          <w:szCs w:val="32"/>
        </w:rPr>
        <w:t>五、精心筹备，成功举办“百年航程</w:t>
      </w:r>
      <w:r>
        <w:rPr>
          <w:rFonts w:ascii="黑体" w:hAnsi="黑体" w:eastAsia="黑体" w:cs="黑体"/>
          <w:b/>
          <w:bCs/>
          <w:szCs w:val="32"/>
        </w:rPr>
        <w:t xml:space="preserve"> 赤子侨心</w:t>
      </w:r>
      <w:r>
        <w:rPr>
          <w:rFonts w:hint="eastAsia" w:ascii="黑体" w:hAnsi="黑体" w:eastAsia="黑体" w:cs="黑体"/>
          <w:b/>
          <w:bCs/>
          <w:szCs w:val="32"/>
          <w:lang w:eastAsia="zh-CN"/>
        </w:rPr>
        <w:t>——</w:t>
      </w:r>
      <w:r>
        <w:rPr>
          <w:rFonts w:ascii="黑体" w:hAnsi="黑体" w:eastAsia="黑体" w:cs="黑体"/>
          <w:b/>
          <w:bCs/>
          <w:szCs w:val="32"/>
        </w:rPr>
        <w:t>庆祝中国共产党成立100周年主题展”</w:t>
      </w:r>
    </w:p>
    <w:p>
      <w:pPr>
        <w:ind w:firstLine="640"/>
        <w:rPr>
          <w:rFonts w:hint="eastAsia" w:ascii="仿宋_GB2312" w:hAnsiTheme="minorHAnsi"/>
          <w:szCs w:val="32"/>
        </w:rPr>
      </w:pPr>
      <w:r>
        <w:rPr>
          <w:rFonts w:hint="eastAsia" w:ascii="仿宋_GB2312" w:hAnsiTheme="minorHAnsi"/>
          <w:szCs w:val="32"/>
        </w:rPr>
        <w:t>围绕庆祝建党一百周年和中国侨联中心工作，自去年开始，侨博成立专班筹备“百年航程</w:t>
      </w:r>
      <w:r>
        <w:rPr>
          <w:rFonts w:ascii="仿宋_GB2312" w:hAnsiTheme="minorHAnsi"/>
          <w:szCs w:val="32"/>
        </w:rPr>
        <w:t xml:space="preserve"> 赤子侨心</w:t>
      </w:r>
      <w:r>
        <w:rPr>
          <w:rFonts w:hint="eastAsia" w:ascii="仿宋_GB2312" w:hAnsiTheme="minorHAnsi"/>
          <w:szCs w:val="32"/>
          <w:lang w:eastAsia="zh-CN"/>
        </w:rPr>
        <w:t>——</w:t>
      </w:r>
      <w:r>
        <w:rPr>
          <w:rFonts w:ascii="仿宋_GB2312" w:hAnsiTheme="minorHAnsi"/>
          <w:szCs w:val="32"/>
        </w:rPr>
        <w:t>庆祝中国共产党成立</w:t>
      </w:r>
      <w:r>
        <w:rPr>
          <w:rFonts w:hint="eastAsia" w:ascii="宋体" w:hAnsi="宋体" w:eastAsia="宋体" w:cs="宋体"/>
          <w:szCs w:val="32"/>
        </w:rPr>
        <w:t>100</w:t>
      </w:r>
      <w:r>
        <w:rPr>
          <w:rFonts w:ascii="仿宋_GB2312" w:hAnsiTheme="minorHAnsi"/>
          <w:szCs w:val="32"/>
        </w:rPr>
        <w:t>周年主题展”</w:t>
      </w:r>
      <w:r>
        <w:rPr>
          <w:rFonts w:hint="eastAsia" w:ascii="仿宋_GB2312" w:hAnsiTheme="minorHAnsi"/>
          <w:szCs w:val="32"/>
        </w:rPr>
        <w:t>。为做到展览主题突出、史实准确、展品丰富、设计科学，专门</w:t>
      </w:r>
      <w:r>
        <w:rPr>
          <w:rFonts w:hint="eastAsia" w:ascii="仿宋_GB2312" w:hAnsi="仿宋_GB2312" w:cs="仿宋_GB2312"/>
          <w:szCs w:val="32"/>
        </w:rPr>
        <w:t>赴黑龙江、广东、河北、山东等地开展调研和征集相关文物，在会领导的直接指导下，对展陈大纲进行了多轮修改，按程序精心选定展陈制作公司，敲定制作方案。</w:t>
      </w:r>
      <w:r>
        <w:rPr>
          <w:rFonts w:hint="eastAsia" w:ascii="仿宋_GB2312" w:hAnsiTheme="minorHAnsi"/>
          <w:szCs w:val="32"/>
        </w:rPr>
        <w:t>展览在</w:t>
      </w:r>
      <w:r>
        <w:rPr>
          <w:rFonts w:ascii="仿宋_GB2312" w:hAnsiTheme="minorHAnsi"/>
          <w:szCs w:val="32"/>
        </w:rPr>
        <w:t xml:space="preserve"> </w:t>
      </w:r>
      <w:r>
        <w:rPr>
          <w:rFonts w:hint="eastAsia" w:ascii="宋体" w:hAnsi="宋体" w:eastAsia="宋体" w:cs="宋体"/>
          <w:szCs w:val="32"/>
        </w:rPr>
        <w:t>5</w:t>
      </w:r>
      <w:r>
        <w:rPr>
          <w:rFonts w:ascii="仿宋_GB2312" w:hAnsiTheme="minorHAnsi"/>
          <w:szCs w:val="32"/>
        </w:rPr>
        <w:t>月</w:t>
      </w:r>
      <w:r>
        <w:rPr>
          <w:rFonts w:hint="eastAsia" w:ascii="宋体" w:hAnsi="宋体" w:eastAsia="宋体" w:cs="宋体"/>
          <w:szCs w:val="32"/>
        </w:rPr>
        <w:t>17</w:t>
      </w:r>
      <w:r>
        <w:rPr>
          <w:rFonts w:ascii="仿宋_GB2312" w:hAnsiTheme="minorHAnsi"/>
          <w:szCs w:val="32"/>
        </w:rPr>
        <w:t>日</w:t>
      </w:r>
      <w:r>
        <w:rPr>
          <w:rFonts w:hint="eastAsia" w:ascii="仿宋_GB2312" w:hAnsiTheme="minorHAnsi"/>
          <w:szCs w:val="32"/>
        </w:rPr>
        <w:t>顺利</w:t>
      </w:r>
      <w:r>
        <w:rPr>
          <w:rFonts w:ascii="仿宋_GB2312" w:hAnsiTheme="minorHAnsi"/>
          <w:szCs w:val="32"/>
        </w:rPr>
        <w:t>开展</w:t>
      </w:r>
      <w:r>
        <w:rPr>
          <w:rFonts w:hint="eastAsia" w:ascii="仿宋_GB2312" w:hAnsiTheme="minorHAnsi"/>
          <w:szCs w:val="32"/>
        </w:rPr>
        <w:t>，</w:t>
      </w:r>
      <w:r>
        <w:rPr>
          <w:rFonts w:ascii="仿宋_GB2312" w:hAnsiTheme="minorHAnsi"/>
          <w:szCs w:val="32"/>
        </w:rPr>
        <w:t>全体驻会领导出席开幕式</w:t>
      </w:r>
      <w:r>
        <w:rPr>
          <w:rFonts w:hint="eastAsia" w:ascii="仿宋_GB2312" w:hAnsiTheme="minorHAnsi"/>
          <w:szCs w:val="32"/>
        </w:rPr>
        <w:t>，</w:t>
      </w:r>
      <w:r>
        <w:rPr>
          <w:rFonts w:ascii="仿宋_GB2312" w:hAnsiTheme="minorHAnsi"/>
          <w:szCs w:val="32"/>
        </w:rPr>
        <w:t>万立骏主席并讲话。</w:t>
      </w:r>
      <w:r>
        <w:rPr>
          <w:rFonts w:hint="eastAsia" w:ascii="仿宋_GB2312" w:hAnsiTheme="minorHAnsi"/>
          <w:szCs w:val="32"/>
        </w:rPr>
        <w:t>展期中，</w:t>
      </w:r>
      <w:r>
        <w:rPr>
          <w:rFonts w:ascii="仿宋_GB2312" w:hAnsiTheme="minorHAnsi"/>
          <w:szCs w:val="32"/>
        </w:rPr>
        <w:t>侨博陆续</w:t>
      </w:r>
      <w:r>
        <w:rPr>
          <w:rFonts w:hint="eastAsia" w:ascii="仿宋_GB2312" w:hAnsiTheme="minorHAnsi"/>
          <w:szCs w:val="32"/>
        </w:rPr>
        <w:t>以中文普通话、英语、日语、法语、俄语、西班牙语和广府话闽南话等多语言、多方言在新华网、东南网等多平台开展展览讲解网上直播。</w:t>
      </w:r>
      <w:r>
        <w:rPr>
          <w:rFonts w:ascii="仿宋_GB2312" w:hAnsiTheme="minorHAnsi"/>
          <w:szCs w:val="32"/>
        </w:rPr>
        <w:t>本次展览</w:t>
      </w:r>
      <w:r>
        <w:rPr>
          <w:rFonts w:hint="eastAsia" w:ascii="仿宋_GB2312" w:hAnsiTheme="minorHAnsi"/>
          <w:szCs w:val="32"/>
        </w:rPr>
        <w:t>是近几年来侨博推出的规模最大、策划准备时间最长的展览，一经推出就引起了极大的关注，人民日报、中国国际广播电台、中新社、北京青年报、新京报等中央和地方媒体作了长篇报道，先后在澳门、江西上饶、北京华侨大厦巡展。</w:t>
      </w:r>
    </w:p>
    <w:p>
      <w:pPr>
        <w:jc w:val="center"/>
        <w:rPr>
          <w:rFonts w:hint="eastAsia" w:ascii="仿宋_GB2312" w:eastAsia="仿宋_GB2312" w:hAnsiTheme="minorHAnsi"/>
          <w:szCs w:val="32"/>
          <w:lang w:eastAsia="zh-CN"/>
        </w:rPr>
      </w:pPr>
      <w:r>
        <w:rPr>
          <w:rFonts w:hint="eastAsia" w:ascii="仿宋_GB2312" w:eastAsia="仿宋_GB2312" w:hAnsiTheme="minorHAnsi"/>
          <w:szCs w:val="32"/>
          <w:lang w:eastAsia="zh-CN"/>
        </w:rPr>
        <w:drawing>
          <wp:inline distT="0" distB="0" distL="114300" distR="114300">
            <wp:extent cx="3961130" cy="2178050"/>
            <wp:effectExtent l="0" t="0" r="1270" b="12700"/>
            <wp:docPr id="3" name="图片 3" descr="2、5月17日，万立骏主席，李卓彬、隋军、程学源副主席等领导出席“百年航程 赤子侨心——庆祝中国共产党成立100周年主题展”开幕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5月17日，万立骏主席，李卓彬、隋军、程学源副主席等领导出席“百年航程 赤子侨心——庆祝中国共产党成立100周年主题展”开幕式"/>
                    <pic:cNvPicPr>
                      <a:picLocks noChangeAspect="1"/>
                    </pic:cNvPicPr>
                  </pic:nvPicPr>
                  <pic:blipFill>
                    <a:blip r:embed="rId9"/>
                    <a:stretch>
                      <a:fillRect/>
                    </a:stretch>
                  </pic:blipFill>
                  <pic:spPr>
                    <a:xfrm>
                      <a:off x="0" y="0"/>
                      <a:ext cx="3961130" cy="2178050"/>
                    </a:xfrm>
                    <a:prstGeom prst="rect">
                      <a:avLst/>
                    </a:prstGeom>
                  </pic:spPr>
                </pic:pic>
              </a:graphicData>
            </a:graphic>
          </wp:inline>
        </w:drawing>
      </w:r>
    </w:p>
    <w:p>
      <w:pPr>
        <w:jc w:val="center"/>
        <w:rPr>
          <w:rFonts w:hint="eastAsia" w:ascii="仿宋_GB2312" w:eastAsia="仿宋_GB2312" w:hAnsiTheme="minorHAnsi"/>
          <w:szCs w:val="32"/>
          <w:lang w:eastAsia="zh-CN"/>
        </w:rPr>
      </w:pPr>
      <w:r>
        <w:rPr>
          <w:rFonts w:hint="eastAsia" w:ascii="仿宋_GB2312" w:eastAsia="仿宋_GB2312" w:hAnsiTheme="minorHAnsi"/>
          <w:szCs w:val="32"/>
          <w:lang w:eastAsia="zh-CN"/>
        </w:rPr>
        <w:drawing>
          <wp:inline distT="0" distB="0" distL="114300" distR="114300">
            <wp:extent cx="5139690" cy="2041525"/>
            <wp:effectExtent l="0" t="0" r="3810" b="15875"/>
            <wp:docPr id="8" name="图片 8" descr="3、7月20日，万立骏主席出席“百年航程 赤子侨心——庆祝中国共产党成立100周年主题展”澳门巡展开幕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7月20日，万立骏主席出席“百年航程 赤子侨心——庆祝中国共产党成立100周年主题展”澳门巡展开幕式"/>
                    <pic:cNvPicPr>
                      <a:picLocks noChangeAspect="1"/>
                    </pic:cNvPicPr>
                  </pic:nvPicPr>
                  <pic:blipFill>
                    <a:blip r:embed="rId10"/>
                    <a:stretch>
                      <a:fillRect/>
                    </a:stretch>
                  </pic:blipFill>
                  <pic:spPr>
                    <a:xfrm>
                      <a:off x="0" y="0"/>
                      <a:ext cx="5139690" cy="2041525"/>
                    </a:xfrm>
                    <a:prstGeom prst="rect">
                      <a:avLst/>
                    </a:prstGeom>
                  </pic:spPr>
                </pic:pic>
              </a:graphicData>
            </a:graphic>
          </wp:inline>
        </w:drawing>
      </w:r>
    </w:p>
    <w:p>
      <w:pPr>
        <w:ind w:firstLine="680" w:firstLineChars="200"/>
        <w:rPr>
          <w:rFonts w:ascii="黑体" w:hAnsi="黑体" w:eastAsia="黑体" w:cs="黑体"/>
          <w:b/>
          <w:bCs/>
          <w:szCs w:val="32"/>
        </w:rPr>
      </w:pPr>
      <w:r>
        <w:rPr>
          <w:rFonts w:hint="eastAsia" w:ascii="黑体" w:hAnsi="黑体" w:eastAsia="黑体" w:cs="黑体"/>
          <w:b/>
          <w:bCs/>
          <w:szCs w:val="32"/>
        </w:rPr>
        <w:t>六、拓宽征集渠道，推进藏品定级，做好藏品管理利用</w:t>
      </w:r>
    </w:p>
    <w:p>
      <w:pPr>
        <w:ind w:firstLine="680" w:firstLineChars="200"/>
        <w:rPr>
          <w:rFonts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仿宋_GB2312" w:cs="仿宋_GB2312"/>
          <w:szCs w:val="32"/>
        </w:rPr>
        <w:t>既做好重点展览专题文物征集，又多点开花，广泛征集。</w:t>
      </w:r>
      <w:r>
        <w:rPr>
          <w:rFonts w:ascii="仿宋_GB2312" w:hAnsi="仿宋_GB2312" w:cs="仿宋_GB2312"/>
          <w:szCs w:val="32"/>
        </w:rPr>
        <w:t>先后组织人员赴云南、山东、湖南、广西广东等地进行了藏品征集</w:t>
      </w:r>
      <w:r>
        <w:rPr>
          <w:rFonts w:hint="eastAsia" w:ascii="仿宋_GB2312" w:hAnsi="仿宋_GB2312" w:cs="仿宋_GB2312"/>
          <w:szCs w:val="32"/>
        </w:rPr>
        <w:t>。应捐赠人要求，举办了“侨乡青瓷</w:t>
      </w:r>
      <w:r>
        <w:rPr>
          <w:rFonts w:ascii="仿宋_GB2312" w:hAnsi="仿宋_GB2312" w:cs="仿宋_GB2312"/>
          <w:szCs w:val="32"/>
        </w:rPr>
        <w:t xml:space="preserve"> 海丝见证”丽水市龙泉青瓷捐赠仪式、郭东健画作捐赠仪式、广东省鹤山市侨联醒狮和木人桩捐赠仪式等数十次藏品捐赠仪式</w:t>
      </w:r>
      <w:r>
        <w:rPr>
          <w:rFonts w:hint="eastAsia" w:ascii="仿宋_GB2312" w:hAnsi="仿宋_GB2312" w:cs="仿宋_GB2312"/>
          <w:szCs w:val="32"/>
        </w:rPr>
        <w:t>。截止当前</w:t>
      </w:r>
      <w:r>
        <w:rPr>
          <w:rFonts w:ascii="仿宋_GB2312" w:hAnsi="仿宋_GB2312" w:cs="仿宋_GB2312"/>
          <w:szCs w:val="32"/>
        </w:rPr>
        <w:t>，</w:t>
      </w:r>
      <w:r>
        <w:rPr>
          <w:rFonts w:hint="eastAsia" w:ascii="宋体" w:hAnsi="宋体" w:eastAsia="宋体" w:cs="宋体"/>
          <w:szCs w:val="32"/>
        </w:rPr>
        <w:t>2021</w:t>
      </w:r>
      <w:r>
        <w:rPr>
          <w:rFonts w:hint="eastAsia" w:ascii="仿宋_GB2312" w:hAnsi="仿宋_GB2312" w:cs="仿宋_GB2312"/>
          <w:szCs w:val="32"/>
        </w:rPr>
        <w:t>年</w:t>
      </w:r>
      <w:r>
        <w:rPr>
          <w:rFonts w:ascii="仿宋_GB2312" w:hAnsi="仿宋_GB2312" w:cs="仿宋_GB2312"/>
          <w:szCs w:val="32"/>
        </w:rPr>
        <w:t>共计新增藏品</w:t>
      </w:r>
      <w:r>
        <w:rPr>
          <w:rFonts w:hint="eastAsia" w:ascii="宋体" w:hAnsi="宋体" w:eastAsia="宋体" w:cs="宋体"/>
          <w:szCs w:val="32"/>
        </w:rPr>
        <w:t>1873</w:t>
      </w:r>
      <w:r>
        <w:rPr>
          <w:rFonts w:ascii="仿宋_GB2312" w:hAnsi="仿宋_GB2312" w:cs="仿宋_GB2312"/>
          <w:szCs w:val="32"/>
        </w:rPr>
        <w:t>件/套</w:t>
      </w:r>
      <w:r>
        <w:rPr>
          <w:rFonts w:hint="eastAsia" w:ascii="仿宋_GB2312" w:hAnsi="仿宋_GB2312" w:cs="仿宋_GB2312"/>
          <w:szCs w:val="32"/>
        </w:rPr>
        <w:t>，其中</w:t>
      </w:r>
      <w:r>
        <w:rPr>
          <w:rFonts w:ascii="仿宋_GB2312" w:hAnsi="仿宋_GB2312" w:cs="仿宋_GB2312"/>
          <w:szCs w:val="32"/>
        </w:rPr>
        <w:t>捐赠文物合计藏品</w:t>
      </w:r>
      <w:r>
        <w:rPr>
          <w:rFonts w:hint="eastAsia" w:ascii="宋体" w:hAnsi="宋体" w:eastAsia="宋体" w:cs="宋体"/>
          <w:szCs w:val="32"/>
        </w:rPr>
        <w:t>1344</w:t>
      </w:r>
      <w:r>
        <w:rPr>
          <w:rFonts w:ascii="仿宋_GB2312" w:hAnsi="仿宋_GB2312" w:cs="仿宋_GB2312"/>
          <w:szCs w:val="32"/>
        </w:rPr>
        <w:t>件/套，定向购买涉侨类文物</w:t>
      </w:r>
      <w:r>
        <w:rPr>
          <w:rFonts w:hint="eastAsia" w:ascii="宋体" w:hAnsi="宋体" w:eastAsia="宋体" w:cs="宋体"/>
          <w:szCs w:val="32"/>
        </w:rPr>
        <w:t>529</w:t>
      </w:r>
      <w:r>
        <w:rPr>
          <w:rFonts w:ascii="仿宋_GB2312" w:hAnsi="仿宋_GB2312" w:cs="仿宋_GB2312"/>
          <w:szCs w:val="32"/>
        </w:rPr>
        <w:t>件/套</w:t>
      </w:r>
      <w:r>
        <w:rPr>
          <w:rFonts w:hint="eastAsia" w:ascii="仿宋_GB2312" w:hAnsi="仿宋_GB2312" w:cs="仿宋_GB2312"/>
          <w:szCs w:val="32"/>
        </w:rPr>
        <w:t>。</w:t>
      </w:r>
      <w:r>
        <w:rPr>
          <w:rFonts w:hint="eastAsia" w:ascii="楷体_GB2312" w:hAnsi="楷体_GB2312" w:eastAsia="楷体_GB2312" w:cs="楷体_GB2312"/>
          <w:b/>
          <w:bCs/>
          <w:szCs w:val="32"/>
        </w:rPr>
        <w:t>二是</w:t>
      </w:r>
      <w:r>
        <w:rPr>
          <w:rFonts w:hint="eastAsia" w:ascii="仿宋_GB2312" w:hAnsi="仿宋_GB2312" w:cs="仿宋_GB2312"/>
          <w:szCs w:val="32"/>
        </w:rPr>
        <w:t>启动了藏品定级工作。经过充分准备，</w:t>
      </w:r>
      <w:r>
        <w:rPr>
          <w:rFonts w:hint="eastAsia" w:ascii="宋体" w:hAnsi="宋体" w:eastAsia="宋体" w:cs="宋体"/>
          <w:szCs w:val="32"/>
        </w:rPr>
        <w:t>11</w:t>
      </w:r>
      <w:r>
        <w:rPr>
          <w:rFonts w:ascii="仿宋_GB2312" w:hAnsi="仿宋_GB2312" w:cs="仿宋_GB2312"/>
          <w:szCs w:val="32"/>
        </w:rPr>
        <w:t>月</w:t>
      </w:r>
      <w:r>
        <w:rPr>
          <w:rFonts w:hint="eastAsia" w:ascii="宋体" w:hAnsi="宋体" w:eastAsia="宋体" w:cs="宋体"/>
          <w:szCs w:val="32"/>
        </w:rPr>
        <w:t>4</w:t>
      </w:r>
      <w:r>
        <w:rPr>
          <w:rFonts w:ascii="仿宋_GB2312" w:hAnsi="仿宋_GB2312" w:cs="仿宋_GB2312"/>
          <w:szCs w:val="32"/>
        </w:rPr>
        <w:t>日，</w:t>
      </w:r>
      <w:r>
        <w:rPr>
          <w:rFonts w:hint="eastAsia" w:ascii="仿宋_GB2312" w:hAnsi="仿宋_GB2312" w:cs="仿宋_GB2312"/>
          <w:szCs w:val="32"/>
        </w:rPr>
        <w:t>由来自</w:t>
      </w:r>
      <w:r>
        <w:rPr>
          <w:rFonts w:ascii="仿宋_GB2312" w:hAnsi="仿宋_GB2312" w:cs="仿宋_GB2312"/>
          <w:szCs w:val="32"/>
        </w:rPr>
        <w:t>国家博物馆、中国军事博物馆等单位的</w:t>
      </w:r>
      <w:r>
        <w:rPr>
          <w:rFonts w:hint="eastAsia" w:ascii="宋体" w:hAnsi="宋体" w:eastAsia="宋体" w:cs="宋体"/>
          <w:szCs w:val="32"/>
        </w:rPr>
        <w:t>5</w:t>
      </w:r>
      <w:r>
        <w:rPr>
          <w:rFonts w:ascii="仿宋_GB2312" w:hAnsi="仿宋_GB2312" w:cs="仿宋_GB2312"/>
          <w:szCs w:val="32"/>
        </w:rPr>
        <w:t>名专家组成藏品定级鉴定委员会</w:t>
      </w:r>
      <w:r>
        <w:rPr>
          <w:rFonts w:hint="eastAsia" w:ascii="仿宋_GB2312" w:hAnsi="仿宋_GB2312" w:cs="仿宋_GB2312"/>
          <w:szCs w:val="32"/>
        </w:rPr>
        <w:t>开展</w:t>
      </w:r>
      <w:r>
        <w:rPr>
          <w:rFonts w:ascii="仿宋_GB2312" w:hAnsi="仿宋_GB2312" w:cs="仿宋_GB2312"/>
          <w:szCs w:val="32"/>
        </w:rPr>
        <w:t>首次珍贵文物定级工作，确定《孙中山为南非杜省华侨联卫会所题词“博爱”》等</w:t>
      </w:r>
      <w:r>
        <w:rPr>
          <w:rFonts w:hint="eastAsia" w:ascii="宋体" w:hAnsi="宋体" w:eastAsia="宋体" w:cs="宋体"/>
          <w:szCs w:val="32"/>
        </w:rPr>
        <w:t>8</w:t>
      </w:r>
      <w:r>
        <w:rPr>
          <w:rFonts w:ascii="仿宋_GB2312" w:hAnsi="仿宋_GB2312" w:cs="仿宋_GB2312"/>
          <w:szCs w:val="32"/>
        </w:rPr>
        <w:t>件</w:t>
      </w:r>
      <w:r>
        <w:rPr>
          <w:rFonts w:hint="eastAsia" w:ascii="仿宋_GB2312" w:hAnsi="仿宋_GB2312" w:cs="仿宋_GB2312"/>
          <w:szCs w:val="32"/>
        </w:rPr>
        <w:t>/</w:t>
      </w:r>
      <w:r>
        <w:rPr>
          <w:rFonts w:ascii="仿宋_GB2312" w:hAnsi="仿宋_GB2312" w:cs="仿宋_GB2312"/>
          <w:szCs w:val="32"/>
        </w:rPr>
        <w:t>套为一级文物，《</w:t>
      </w:r>
      <w:r>
        <w:rPr>
          <w:rFonts w:hint="eastAsia" w:ascii="宋体" w:hAnsi="宋体" w:eastAsia="宋体" w:cs="宋体"/>
          <w:szCs w:val="32"/>
        </w:rPr>
        <w:t>1953</w:t>
      </w:r>
      <w:r>
        <w:rPr>
          <w:rFonts w:ascii="仿宋_GB2312" w:hAnsi="仿宋_GB2312" w:cs="仿宋_GB2312"/>
          <w:szCs w:val="32"/>
        </w:rPr>
        <w:t>年印尼华侨体育观摩团签名的“印尼华侨球队公约”》等</w:t>
      </w:r>
      <w:r>
        <w:rPr>
          <w:rFonts w:hint="eastAsia" w:ascii="宋体" w:hAnsi="宋体" w:eastAsia="宋体" w:cs="宋体"/>
          <w:szCs w:val="32"/>
        </w:rPr>
        <w:t>4</w:t>
      </w:r>
      <w:r>
        <w:rPr>
          <w:rFonts w:ascii="仿宋_GB2312" w:hAnsi="仿宋_GB2312" w:cs="仿宋_GB2312"/>
          <w:szCs w:val="32"/>
        </w:rPr>
        <w:t>件</w:t>
      </w:r>
      <w:r>
        <w:rPr>
          <w:rFonts w:hint="eastAsia" w:ascii="仿宋_GB2312" w:hAnsi="仿宋_GB2312" w:cs="仿宋_GB2312"/>
          <w:szCs w:val="32"/>
        </w:rPr>
        <w:t>/</w:t>
      </w:r>
      <w:r>
        <w:rPr>
          <w:rFonts w:ascii="仿宋_GB2312" w:hAnsi="仿宋_GB2312" w:cs="仿宋_GB2312"/>
          <w:szCs w:val="32"/>
        </w:rPr>
        <w:t>套为二级文物，《夏之秋作曲“卖花词”乐谱手稿》等</w:t>
      </w:r>
      <w:r>
        <w:rPr>
          <w:rFonts w:hint="eastAsia" w:ascii="宋体" w:hAnsi="宋体" w:eastAsia="宋体" w:cs="宋体"/>
          <w:szCs w:val="32"/>
        </w:rPr>
        <w:t>7</w:t>
      </w:r>
      <w:r>
        <w:rPr>
          <w:rFonts w:ascii="仿宋_GB2312" w:hAnsi="仿宋_GB2312" w:cs="仿宋_GB2312"/>
          <w:szCs w:val="32"/>
        </w:rPr>
        <w:t>件</w:t>
      </w:r>
      <w:r>
        <w:rPr>
          <w:rFonts w:hint="eastAsia" w:ascii="仿宋_GB2312" w:hAnsi="仿宋_GB2312" w:cs="仿宋_GB2312"/>
          <w:szCs w:val="32"/>
        </w:rPr>
        <w:t>/</w:t>
      </w:r>
      <w:r>
        <w:rPr>
          <w:rFonts w:ascii="仿宋_GB2312" w:hAnsi="仿宋_GB2312" w:cs="仿宋_GB2312"/>
          <w:szCs w:val="32"/>
        </w:rPr>
        <w:t>套为三级文物。</w:t>
      </w:r>
      <w:r>
        <w:rPr>
          <w:rFonts w:hint="eastAsia" w:ascii="楷体_GB2312" w:hAnsi="楷体_GB2312" w:eastAsia="楷体_GB2312" w:cs="楷体_GB2312"/>
          <w:b/>
          <w:bCs/>
          <w:szCs w:val="32"/>
        </w:rPr>
        <w:t>三是</w:t>
      </w:r>
      <w:r>
        <w:rPr>
          <w:rFonts w:hint="eastAsia" w:ascii="仿宋_GB2312" w:hAnsi="仿宋_GB2312" w:cs="仿宋_GB2312"/>
          <w:szCs w:val="32"/>
        </w:rPr>
        <w:t>严格做好藏品保护管理工作。按照制度规范流程，全年</w:t>
      </w:r>
      <w:r>
        <w:rPr>
          <w:rFonts w:ascii="仿宋_GB2312" w:hAnsi="仿宋_GB2312" w:cs="仿宋_GB2312"/>
          <w:szCs w:val="32"/>
        </w:rPr>
        <w:t>提用实物藏品</w:t>
      </w:r>
      <w:r>
        <w:rPr>
          <w:rFonts w:hint="eastAsia" w:ascii="宋体" w:hAnsi="宋体" w:eastAsia="宋体" w:cs="宋体"/>
          <w:szCs w:val="32"/>
        </w:rPr>
        <w:t>12</w:t>
      </w:r>
      <w:r>
        <w:rPr>
          <w:rFonts w:ascii="仿宋_GB2312" w:hAnsi="仿宋_GB2312" w:cs="仿宋_GB2312"/>
          <w:szCs w:val="32"/>
        </w:rPr>
        <w:t>批次，共</w:t>
      </w:r>
      <w:r>
        <w:rPr>
          <w:rFonts w:hint="eastAsia" w:ascii="宋体" w:hAnsi="宋体" w:eastAsia="宋体" w:cs="宋体"/>
          <w:szCs w:val="32"/>
        </w:rPr>
        <w:t>563</w:t>
      </w:r>
      <w:r>
        <w:rPr>
          <w:rFonts w:ascii="仿宋_GB2312" w:hAnsi="仿宋_GB2312" w:cs="仿宋_GB2312"/>
          <w:szCs w:val="32"/>
        </w:rPr>
        <w:t>件</w:t>
      </w:r>
      <w:r>
        <w:rPr>
          <w:rFonts w:hint="eastAsia" w:ascii="仿宋_GB2312" w:hAnsi="仿宋_GB2312" w:cs="仿宋_GB2312"/>
          <w:szCs w:val="32"/>
        </w:rPr>
        <w:t>/</w:t>
      </w:r>
      <w:r>
        <w:rPr>
          <w:rFonts w:ascii="仿宋_GB2312" w:hAnsi="仿宋_GB2312" w:cs="仿宋_GB2312"/>
          <w:szCs w:val="32"/>
        </w:rPr>
        <w:t>套藏品</w:t>
      </w:r>
      <w:r>
        <w:rPr>
          <w:rFonts w:hint="eastAsia" w:ascii="仿宋_GB2312" w:hAnsi="仿宋_GB2312" w:cs="仿宋_GB2312"/>
          <w:szCs w:val="32"/>
        </w:rPr>
        <w:t>，</w:t>
      </w:r>
      <w:r>
        <w:rPr>
          <w:rFonts w:ascii="仿宋_GB2312" w:hAnsi="仿宋_GB2312" w:cs="仿宋_GB2312"/>
          <w:szCs w:val="32"/>
        </w:rPr>
        <w:t>提取藏品电子信息</w:t>
      </w:r>
      <w:r>
        <w:rPr>
          <w:rFonts w:hint="eastAsia" w:ascii="宋体" w:hAnsi="宋体" w:eastAsia="宋体" w:cs="宋体"/>
          <w:szCs w:val="32"/>
        </w:rPr>
        <w:t>14</w:t>
      </w:r>
      <w:r>
        <w:rPr>
          <w:rFonts w:ascii="仿宋_GB2312" w:hAnsi="仿宋_GB2312" w:cs="仿宋_GB2312"/>
          <w:szCs w:val="32"/>
        </w:rPr>
        <w:t>次，共</w:t>
      </w:r>
      <w:r>
        <w:rPr>
          <w:rFonts w:hint="eastAsia" w:ascii="宋体" w:hAnsi="宋体" w:eastAsia="宋体" w:cs="宋体"/>
          <w:szCs w:val="32"/>
        </w:rPr>
        <w:t>710</w:t>
      </w:r>
      <w:r>
        <w:rPr>
          <w:rFonts w:ascii="仿宋_GB2312" w:hAnsi="仿宋_GB2312" w:cs="仿宋_GB2312"/>
          <w:szCs w:val="32"/>
        </w:rPr>
        <w:t>张电子图片</w:t>
      </w:r>
      <w:r>
        <w:rPr>
          <w:rFonts w:hint="eastAsia" w:ascii="仿宋_GB2312" w:hAnsi="仿宋_GB2312" w:cs="仿宋_GB2312"/>
          <w:szCs w:val="32"/>
        </w:rPr>
        <w:t>，</w:t>
      </w:r>
      <w:r>
        <w:rPr>
          <w:rFonts w:ascii="仿宋_GB2312" w:hAnsi="仿宋_GB2312" w:cs="仿宋_GB2312"/>
          <w:szCs w:val="32"/>
        </w:rPr>
        <w:t>退还</w:t>
      </w:r>
      <w:r>
        <w:rPr>
          <w:rFonts w:hint="eastAsia" w:ascii="宋体" w:hAnsi="宋体" w:eastAsia="宋体" w:cs="宋体"/>
          <w:szCs w:val="32"/>
        </w:rPr>
        <w:t>10</w:t>
      </w:r>
      <w:r>
        <w:rPr>
          <w:rFonts w:ascii="仿宋_GB2312" w:hAnsi="仿宋_GB2312" w:cs="仿宋_GB2312"/>
          <w:szCs w:val="32"/>
        </w:rPr>
        <w:t>批次，共</w:t>
      </w:r>
      <w:r>
        <w:rPr>
          <w:rFonts w:hint="eastAsia" w:ascii="宋体" w:hAnsi="宋体" w:eastAsia="宋体" w:cs="宋体"/>
          <w:szCs w:val="32"/>
        </w:rPr>
        <w:t>500</w:t>
      </w:r>
      <w:r>
        <w:rPr>
          <w:rFonts w:ascii="仿宋_GB2312" w:hAnsi="仿宋_GB2312" w:cs="仿宋_GB2312"/>
          <w:szCs w:val="32"/>
        </w:rPr>
        <w:t>余件</w:t>
      </w:r>
      <w:r>
        <w:rPr>
          <w:rFonts w:hint="eastAsia" w:ascii="仿宋_GB2312" w:hAnsi="仿宋_GB2312" w:cs="仿宋_GB2312"/>
          <w:szCs w:val="32"/>
        </w:rPr>
        <w:t>/</w:t>
      </w:r>
      <w:r>
        <w:rPr>
          <w:rFonts w:ascii="仿宋_GB2312" w:hAnsi="仿宋_GB2312" w:cs="仿宋_GB2312"/>
          <w:szCs w:val="32"/>
        </w:rPr>
        <w:t>套，抽查纸制品、参考品、保险柜内藏品</w:t>
      </w:r>
      <w:r>
        <w:rPr>
          <w:rFonts w:hint="eastAsia" w:ascii="宋体" w:hAnsi="宋体" w:eastAsia="宋体" w:cs="宋体"/>
          <w:szCs w:val="32"/>
        </w:rPr>
        <w:t>305</w:t>
      </w:r>
      <w:r>
        <w:rPr>
          <w:rFonts w:ascii="仿宋_GB2312" w:hAnsi="仿宋_GB2312" w:cs="仿宋_GB2312"/>
          <w:szCs w:val="32"/>
        </w:rPr>
        <w:t>件</w:t>
      </w:r>
      <w:r>
        <w:rPr>
          <w:rFonts w:hint="eastAsia" w:ascii="仿宋_GB2312" w:hAnsi="仿宋_GB2312" w:cs="仿宋_GB2312"/>
          <w:szCs w:val="32"/>
        </w:rPr>
        <w:t>/</w:t>
      </w:r>
      <w:r>
        <w:rPr>
          <w:rFonts w:ascii="仿宋_GB2312" w:hAnsi="仿宋_GB2312" w:cs="仿宋_GB2312"/>
          <w:szCs w:val="32"/>
        </w:rPr>
        <w:t>套</w:t>
      </w:r>
      <w:r>
        <w:rPr>
          <w:rFonts w:hint="eastAsia" w:ascii="仿宋_GB2312" w:hAnsi="仿宋_GB2312" w:cs="仿宋_GB2312"/>
          <w:szCs w:val="32"/>
        </w:rPr>
        <w:t>；按标准</w:t>
      </w:r>
      <w:r>
        <w:rPr>
          <w:rFonts w:ascii="仿宋_GB2312" w:hAnsi="仿宋_GB2312" w:cs="仿宋_GB2312"/>
          <w:szCs w:val="32"/>
        </w:rPr>
        <w:t>进一步改善藏品保管环境</w:t>
      </w:r>
      <w:r>
        <w:rPr>
          <w:rFonts w:hint="eastAsia" w:ascii="仿宋_GB2312" w:hAnsi="仿宋_GB2312" w:cs="仿宋_GB2312"/>
          <w:szCs w:val="32"/>
        </w:rPr>
        <w:t>条件。</w:t>
      </w:r>
      <w:r>
        <w:rPr>
          <w:rFonts w:ascii="仿宋_GB2312" w:hAnsi="仿宋_GB2312" w:cs="仿宋_GB2312"/>
          <w:szCs w:val="32"/>
        </w:rPr>
        <w:t>对藏品第四库房</w:t>
      </w:r>
      <w:r>
        <w:rPr>
          <w:rFonts w:hint="eastAsia" w:ascii="宋体" w:hAnsi="宋体" w:eastAsia="宋体" w:cs="宋体"/>
          <w:szCs w:val="32"/>
        </w:rPr>
        <w:t>1000</w:t>
      </w:r>
      <w:r>
        <w:rPr>
          <w:rFonts w:ascii="仿宋_GB2312" w:hAnsi="仿宋_GB2312" w:cs="仿宋_GB2312"/>
          <w:szCs w:val="32"/>
        </w:rPr>
        <w:t>余件</w:t>
      </w:r>
      <w:r>
        <w:rPr>
          <w:rFonts w:hint="eastAsia" w:ascii="仿宋_GB2312" w:hAnsi="仿宋_GB2312" w:cs="仿宋_GB2312"/>
          <w:szCs w:val="32"/>
        </w:rPr>
        <w:t>/</w:t>
      </w:r>
      <w:r>
        <w:rPr>
          <w:rFonts w:ascii="仿宋_GB2312" w:hAnsi="仿宋_GB2312" w:cs="仿宋_GB2312"/>
          <w:szCs w:val="32"/>
        </w:rPr>
        <w:t>套纸质类藏品更换无酸纸袋</w:t>
      </w:r>
      <w:r>
        <w:rPr>
          <w:rFonts w:hint="eastAsia" w:ascii="仿宋_GB2312" w:hAnsi="仿宋_GB2312" w:cs="仿宋_GB2312"/>
          <w:szCs w:val="32"/>
        </w:rPr>
        <w:t>和</w:t>
      </w:r>
      <w:r>
        <w:rPr>
          <w:rFonts w:ascii="仿宋_GB2312" w:hAnsi="仿宋_GB2312" w:cs="仿宋_GB2312"/>
          <w:szCs w:val="32"/>
        </w:rPr>
        <w:t>调整排架</w:t>
      </w:r>
      <w:r>
        <w:rPr>
          <w:rFonts w:hint="eastAsia" w:ascii="仿宋_GB2312" w:hAnsi="仿宋_GB2312" w:cs="仿宋_GB2312"/>
          <w:szCs w:val="32"/>
        </w:rPr>
        <w:t>，为</w:t>
      </w:r>
      <w:r>
        <w:rPr>
          <w:rFonts w:ascii="仿宋_GB2312" w:hAnsi="仿宋_GB2312" w:cs="仿宋_GB2312"/>
          <w:szCs w:val="32"/>
        </w:rPr>
        <w:t>青瓷类藏品购买随型囊匣等文保产品</w:t>
      </w:r>
      <w:r>
        <w:rPr>
          <w:rFonts w:hint="eastAsia" w:ascii="仿宋_GB2312" w:hAnsi="仿宋_GB2312" w:cs="仿宋_GB2312"/>
          <w:szCs w:val="32"/>
        </w:rPr>
        <w:t>；</w:t>
      </w:r>
      <w:r>
        <w:rPr>
          <w:rFonts w:ascii="仿宋_GB2312" w:hAnsi="仿宋_GB2312" w:cs="仿宋_GB2312"/>
          <w:szCs w:val="32"/>
        </w:rPr>
        <w:t>为更好落实博物馆一级文物存放要求，定制智能恒湿展柜，完成</w:t>
      </w:r>
      <w:r>
        <w:rPr>
          <w:rFonts w:hint="eastAsia" w:ascii="仿宋_GB2312" w:hAnsi="仿宋_GB2312" w:cs="仿宋_GB2312"/>
          <w:szCs w:val="32"/>
        </w:rPr>
        <w:t>库区防爆灯更换安装工作。</w:t>
      </w:r>
      <w:r>
        <w:rPr>
          <w:rFonts w:hint="eastAsia" w:ascii="楷体_GB2312" w:hAnsi="楷体_GB2312" w:eastAsia="楷体_GB2312" w:cs="楷体_GB2312"/>
          <w:b/>
          <w:bCs/>
          <w:szCs w:val="32"/>
        </w:rPr>
        <w:t>四是</w:t>
      </w:r>
      <w:r>
        <w:rPr>
          <w:rFonts w:hint="eastAsia" w:ascii="仿宋_GB2312" w:hAnsi="仿宋_GB2312" w:cs="仿宋_GB2312"/>
          <w:szCs w:val="32"/>
        </w:rPr>
        <w:t>加强藏品的开发利用。利用馆内丰富的图书藏品，设立阅览室，以满足本馆工作人员阅览和开展党史学习教育需求；参与北京市文物局主办的《藏品有话说》节目，录制了《美洲大陆升起的第一面五星红旗》等</w:t>
      </w:r>
      <w:r>
        <w:rPr>
          <w:rFonts w:hint="eastAsia" w:ascii="宋体" w:hAnsi="宋体" w:eastAsia="宋体" w:cs="宋体"/>
          <w:szCs w:val="32"/>
        </w:rPr>
        <w:t>3</w:t>
      </w:r>
      <w:r>
        <w:rPr>
          <w:rFonts w:ascii="仿宋_GB2312" w:hAnsi="仿宋_GB2312" w:cs="仿宋_GB2312"/>
          <w:szCs w:val="32"/>
        </w:rPr>
        <w:t>篇藏品故事，</w:t>
      </w:r>
      <w:r>
        <w:rPr>
          <w:rFonts w:hint="eastAsia" w:ascii="仿宋_GB2312" w:hAnsi="仿宋_GB2312" w:cs="仿宋_GB2312"/>
          <w:szCs w:val="32"/>
        </w:rPr>
        <w:t>收获</w:t>
      </w:r>
      <w:r>
        <w:rPr>
          <w:rFonts w:ascii="仿宋_GB2312" w:hAnsi="仿宋_GB2312" w:cs="仿宋_GB2312"/>
          <w:szCs w:val="32"/>
        </w:rPr>
        <w:t>了近</w:t>
      </w:r>
      <w:r>
        <w:rPr>
          <w:rFonts w:hint="eastAsia" w:ascii="宋体" w:hAnsi="宋体" w:eastAsia="宋体" w:cs="宋体"/>
          <w:szCs w:val="32"/>
        </w:rPr>
        <w:t>200</w:t>
      </w:r>
      <w:r>
        <w:rPr>
          <w:rFonts w:ascii="仿宋_GB2312" w:hAnsi="仿宋_GB2312" w:cs="仿宋_GB2312"/>
          <w:szCs w:val="32"/>
        </w:rPr>
        <w:t>万的播放量。</w:t>
      </w:r>
    </w:p>
    <w:p>
      <w:pPr>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eastAsia="zh-CN"/>
        </w:rPr>
        <w:drawing>
          <wp:inline distT="0" distB="0" distL="114300" distR="114300">
            <wp:extent cx="2742565" cy="1828165"/>
            <wp:effectExtent l="0" t="0" r="635" b="635"/>
            <wp:docPr id="10" name="图片 10" descr="10、侨博首批文物定级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侨博首批文物定级现场"/>
                    <pic:cNvPicPr>
                      <a:picLocks noChangeAspect="1"/>
                    </pic:cNvPicPr>
                  </pic:nvPicPr>
                  <pic:blipFill>
                    <a:blip r:embed="rId11"/>
                    <a:stretch>
                      <a:fillRect/>
                    </a:stretch>
                  </pic:blipFill>
                  <pic:spPr>
                    <a:xfrm>
                      <a:off x="0" y="0"/>
                      <a:ext cx="2742565" cy="1828165"/>
                    </a:xfrm>
                    <a:prstGeom prst="rect">
                      <a:avLst/>
                    </a:prstGeom>
                  </pic:spPr>
                </pic:pic>
              </a:graphicData>
            </a:graphic>
          </wp:inline>
        </w:drawing>
      </w:r>
    </w:p>
    <w:p>
      <w:pPr>
        <w:ind w:firstLine="680" w:firstLineChars="200"/>
        <w:rPr>
          <w:rFonts w:ascii="黑体" w:hAnsi="黑体" w:eastAsia="黑体" w:cs="黑体"/>
          <w:b/>
          <w:bCs/>
          <w:szCs w:val="32"/>
        </w:rPr>
      </w:pPr>
      <w:r>
        <w:rPr>
          <w:rFonts w:hint="eastAsia" w:ascii="黑体" w:hAnsi="黑体" w:eastAsia="黑体" w:cs="黑体"/>
          <w:b/>
          <w:bCs/>
          <w:szCs w:val="32"/>
        </w:rPr>
        <w:t>七、提升办展质量，推动宣传社教文创全面发展</w:t>
      </w:r>
    </w:p>
    <w:p>
      <w:pPr>
        <w:ind w:firstLine="680" w:firstLineChars="200"/>
        <w:rPr>
          <w:rFonts w:hint="eastAsia"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仿宋_GB2312" w:cs="仿宋_GB2312"/>
          <w:szCs w:val="32"/>
        </w:rPr>
        <w:t>坚持计划内办展和紧跟重大时政事件办展相结合，不断提升办展质量。今年，侨博联合江门市有关单位推出的“家国情怀寄尺素——江门五邑银信（侨批）专题展”，开幕当天便登上《新闻联播》，被中纪委网站等媒体网络平台报道，中央电视台文艺频道跟进作了专题采访报道，引起较大反响。侨博以馆藏珍品为题推出“纸上风云五十年——《美洲华侨日报》（</w:t>
      </w:r>
      <w:r>
        <w:rPr>
          <w:rFonts w:hint="eastAsia" w:ascii="宋体" w:hAnsi="宋体" w:eastAsia="宋体" w:cs="宋体"/>
          <w:szCs w:val="32"/>
        </w:rPr>
        <w:t>1940-1989</w:t>
      </w:r>
      <w:r>
        <w:rPr>
          <w:rFonts w:ascii="仿宋_GB2312" w:hAnsi="仿宋_GB2312" w:cs="仿宋_GB2312"/>
          <w:szCs w:val="32"/>
        </w:rPr>
        <w:t>）特展”原创展</w:t>
      </w:r>
      <w:r>
        <w:rPr>
          <w:rFonts w:hint="eastAsia" w:ascii="仿宋_GB2312" w:hAnsi="仿宋_GB2312" w:cs="仿宋_GB2312"/>
          <w:szCs w:val="32"/>
        </w:rPr>
        <w:t>，与福建省民族与宗教事务厅等单位合作推出“福建宗教界与海外华侨爱国故事陶瓷艺术展”“赤子情怀 大爱无疆一一纪念慈善家黄仲咸先生诞辰</w:t>
      </w:r>
      <w:r>
        <w:rPr>
          <w:rFonts w:hint="eastAsia" w:ascii="宋体" w:hAnsi="宋体" w:eastAsia="宋体" w:cs="宋体"/>
          <w:szCs w:val="32"/>
        </w:rPr>
        <w:t>100</w:t>
      </w:r>
      <w:r>
        <w:rPr>
          <w:rFonts w:hint="eastAsia" w:ascii="仿宋_GB2312" w:hAnsi="仿宋_GB2312" w:cs="仿宋_GB2312"/>
          <w:szCs w:val="32"/>
        </w:rPr>
        <w:t>周年事迹展”“‘孟永康——不止于画’油画展”等多个政治性、思想性、艺术性兼具的涉侨展览。侨博原创的“千年沧桑皆姓唐”明信片主题展在江门和厦门做了巡展。在北京冬奥会即将举行之际，积极策划筹备华侨华人与冬奥主题展。</w:t>
      </w:r>
      <w:r>
        <w:rPr>
          <w:rFonts w:hint="eastAsia" w:ascii="楷体_GB2312" w:hAnsi="楷体_GB2312" w:eastAsia="楷体_GB2312" w:cs="楷体_GB2312"/>
          <w:b/>
          <w:bCs/>
          <w:szCs w:val="32"/>
        </w:rPr>
        <w:t>二是</w:t>
      </w:r>
      <w:r>
        <w:rPr>
          <w:rFonts w:hint="eastAsia" w:ascii="仿宋_GB2312" w:hAnsi="仿宋_GB2312" w:cs="仿宋_GB2312"/>
          <w:szCs w:val="32"/>
        </w:rPr>
        <w:t>加强策划，丰富社教内容。推出了《游学手册》，带动学生观众以主动参与的方式加入到博物馆学习当中；推出侨博印章打卡活动，利用侨博馆舍图案和重要藏品开发制作了</w:t>
      </w:r>
      <w:r>
        <w:rPr>
          <w:rFonts w:hint="eastAsia" w:ascii="宋体" w:hAnsi="宋体" w:eastAsia="宋体" w:cs="宋体"/>
          <w:szCs w:val="32"/>
        </w:rPr>
        <w:t>11</w:t>
      </w:r>
      <w:r>
        <w:rPr>
          <w:rFonts w:ascii="仿宋_GB2312" w:hAnsi="仿宋_GB2312" w:cs="仿宋_GB2312"/>
          <w:szCs w:val="32"/>
        </w:rPr>
        <w:t>款</w:t>
      </w:r>
      <w:r>
        <w:rPr>
          <w:rFonts w:hint="eastAsia" w:ascii="宋体" w:hAnsi="宋体" w:eastAsia="宋体" w:cs="宋体"/>
          <w:szCs w:val="32"/>
        </w:rPr>
        <w:t>16</w:t>
      </w:r>
      <w:r>
        <w:rPr>
          <w:rFonts w:ascii="仿宋_GB2312" w:hAnsi="仿宋_GB2312" w:cs="仿宋_GB2312"/>
          <w:szCs w:val="32"/>
        </w:rPr>
        <w:t>个印章</w:t>
      </w:r>
      <w:r>
        <w:rPr>
          <w:rFonts w:hint="eastAsia" w:ascii="仿宋_GB2312" w:hAnsi="仿宋_GB2312" w:cs="仿宋_GB2312"/>
          <w:szCs w:val="32"/>
        </w:rPr>
        <w:t>；策划组织了“侨博杯”侨风侨情装饰画绘色作品征集活动。</w:t>
      </w:r>
      <w:r>
        <w:rPr>
          <w:rFonts w:hint="eastAsia" w:ascii="楷体_GB2312" w:hAnsi="楷体_GB2312" w:eastAsia="楷体_GB2312" w:cs="楷体_GB2312"/>
          <w:b/>
          <w:bCs/>
          <w:szCs w:val="32"/>
        </w:rPr>
        <w:t>三是</w:t>
      </w:r>
      <w:r>
        <w:rPr>
          <w:rFonts w:hint="eastAsia" w:ascii="仿宋_GB2312" w:hAnsi="仿宋_GB2312" w:cs="仿宋_GB2312"/>
          <w:szCs w:val="32"/>
        </w:rPr>
        <w:t>积极参与由北京市委宣传部主办、北京广播电视台承办的“流动的爱国主义教育基地进校园”活动，结合弘扬“嘉庚精神”，组织宣讲团队先后赴北京市东城区东四九条小学、大兴区采育镇第一和第三中心小学、顺义区首师大附属实验小学和光明小学，共计面向</w:t>
      </w:r>
      <w:r>
        <w:rPr>
          <w:rFonts w:hint="eastAsia" w:ascii="宋体" w:hAnsi="宋体" w:eastAsia="宋体" w:cs="宋体"/>
          <w:szCs w:val="32"/>
        </w:rPr>
        <w:t>3000</w:t>
      </w:r>
      <w:r>
        <w:rPr>
          <w:rFonts w:ascii="仿宋_GB2312" w:hAnsi="仿宋_GB2312" w:cs="仿宋_GB2312"/>
          <w:szCs w:val="32"/>
        </w:rPr>
        <w:t>多名小学生开展</w:t>
      </w:r>
      <w:r>
        <w:rPr>
          <w:rFonts w:hint="eastAsia" w:ascii="宋体" w:hAnsi="宋体" w:eastAsia="宋体" w:cs="宋体"/>
          <w:szCs w:val="32"/>
        </w:rPr>
        <w:t>5</w:t>
      </w:r>
      <w:r>
        <w:rPr>
          <w:rFonts w:ascii="仿宋_GB2312" w:hAnsi="仿宋_GB2312" w:cs="仿宋_GB2312"/>
          <w:szCs w:val="32"/>
        </w:rPr>
        <w:t>场丰富多彩、生动活泼的“四史”宣讲活动</w:t>
      </w:r>
      <w:r>
        <w:rPr>
          <w:rFonts w:hint="eastAsia" w:ascii="仿宋_GB2312" w:hAnsi="仿宋_GB2312" w:cs="仿宋_GB2312"/>
          <w:szCs w:val="32"/>
        </w:rPr>
        <w:t>。</w:t>
      </w:r>
      <w:r>
        <w:rPr>
          <w:rFonts w:hint="eastAsia" w:ascii="楷体_GB2312" w:hAnsi="楷体_GB2312" w:eastAsia="楷体_GB2312" w:cs="楷体_GB2312"/>
          <w:b/>
          <w:bCs/>
          <w:szCs w:val="32"/>
        </w:rPr>
        <w:t>四是</w:t>
      </w:r>
      <w:r>
        <w:rPr>
          <w:rFonts w:hint="eastAsia" w:ascii="仿宋_GB2312" w:hAnsi="仿宋_GB2312" w:cs="仿宋_GB2312"/>
          <w:szCs w:val="32"/>
        </w:rPr>
        <w:t>加强多形式的宣传，扩大影响力。截至目前，侨博微信公众号共推送文章</w:t>
      </w:r>
      <w:r>
        <w:rPr>
          <w:rFonts w:hint="eastAsia" w:ascii="宋体" w:hAnsi="宋体" w:eastAsia="宋体" w:cs="宋体"/>
          <w:szCs w:val="32"/>
        </w:rPr>
        <w:t>150</w:t>
      </w:r>
      <w:r>
        <w:rPr>
          <w:rFonts w:hint="eastAsia" w:ascii="仿宋_GB2312" w:hAnsi="仿宋_GB2312" w:cs="仿宋_GB2312"/>
          <w:szCs w:val="32"/>
        </w:rPr>
        <w:t>篇，较去年增加</w:t>
      </w:r>
      <w:r>
        <w:rPr>
          <w:rFonts w:hint="eastAsia" w:ascii="宋体" w:hAnsi="宋体" w:eastAsia="宋体" w:cs="宋体"/>
          <w:szCs w:val="32"/>
        </w:rPr>
        <w:t>134%</w:t>
      </w:r>
      <w:r>
        <w:rPr>
          <w:rFonts w:hint="eastAsia" w:ascii="仿宋_GB2312" w:hAnsi="仿宋_GB2312" w:cs="仿宋_GB2312"/>
          <w:szCs w:val="32"/>
        </w:rPr>
        <w:t>，阅读量共计</w:t>
      </w:r>
      <w:r>
        <w:rPr>
          <w:rFonts w:hint="eastAsia" w:ascii="宋体" w:hAnsi="宋体" w:eastAsia="宋体" w:cs="宋体"/>
          <w:szCs w:val="32"/>
        </w:rPr>
        <w:t>55178</w:t>
      </w:r>
      <w:r>
        <w:rPr>
          <w:rFonts w:hint="eastAsia" w:ascii="仿宋_GB2312" w:hAnsi="仿宋_GB2312" w:cs="仿宋_GB2312"/>
          <w:szCs w:val="32"/>
        </w:rPr>
        <w:t>人次，较去年增加</w:t>
      </w:r>
      <w:r>
        <w:rPr>
          <w:rFonts w:hint="eastAsia" w:ascii="宋体" w:hAnsi="宋体" w:eastAsia="宋体" w:cs="宋体"/>
          <w:szCs w:val="32"/>
        </w:rPr>
        <w:t>201%</w:t>
      </w:r>
      <w:r>
        <w:rPr>
          <w:rFonts w:hint="eastAsia" w:ascii="仿宋_GB2312" w:hAnsi="仿宋_GB2312" w:cs="仿宋_GB2312"/>
          <w:szCs w:val="32"/>
        </w:rPr>
        <w:t>；官网点击量共计</w:t>
      </w:r>
      <w:r>
        <w:rPr>
          <w:rFonts w:hint="eastAsia" w:ascii="宋体" w:hAnsi="宋体" w:eastAsia="宋体" w:cs="宋体"/>
          <w:szCs w:val="32"/>
        </w:rPr>
        <w:t>81884</w:t>
      </w:r>
      <w:r>
        <w:rPr>
          <w:rFonts w:hint="eastAsia" w:ascii="仿宋_GB2312" w:hAnsi="仿宋_GB2312" w:cs="仿宋_GB2312"/>
          <w:szCs w:val="32"/>
        </w:rPr>
        <w:t>人次，较去年增加</w:t>
      </w:r>
      <w:r>
        <w:rPr>
          <w:rFonts w:hint="eastAsia" w:ascii="宋体" w:hAnsi="宋体" w:eastAsia="宋体" w:cs="宋体"/>
          <w:szCs w:val="32"/>
        </w:rPr>
        <w:t>66%</w:t>
      </w:r>
      <w:r>
        <w:rPr>
          <w:rFonts w:hint="eastAsia" w:ascii="仿宋_GB2312" w:hAnsi="仿宋_GB2312" w:cs="仿宋_GB2312"/>
          <w:szCs w:val="32"/>
        </w:rPr>
        <w:t>；加强宣传信息推送，推动各融媒体平台加大对侨博的新闻报道力度，人民日报、学习强国、中新网等多家家国内主流媒体报道侨博信息频次加大，全年共发稿近百次。</w:t>
      </w:r>
      <w:r>
        <w:rPr>
          <w:rFonts w:hint="eastAsia" w:ascii="楷体_GB2312" w:hAnsi="楷体_GB2312" w:eastAsia="楷体_GB2312" w:cs="楷体_GB2312"/>
          <w:b/>
          <w:bCs/>
          <w:szCs w:val="32"/>
        </w:rPr>
        <w:t>五是</w:t>
      </w:r>
      <w:r>
        <w:rPr>
          <w:rFonts w:hint="eastAsia" w:ascii="仿宋_GB2312" w:hAnsi="仿宋_GB2312" w:cs="仿宋_GB2312"/>
          <w:szCs w:val="32"/>
        </w:rPr>
        <w:t>启动首批志愿者招募工作。招募的首批志愿者</w:t>
      </w:r>
      <w:r>
        <w:rPr>
          <w:rFonts w:hint="eastAsia" w:ascii="宋体" w:hAnsi="宋体" w:eastAsia="宋体" w:cs="宋体"/>
          <w:szCs w:val="32"/>
        </w:rPr>
        <w:t>9</w:t>
      </w:r>
      <w:r>
        <w:rPr>
          <w:rFonts w:ascii="仿宋_GB2312" w:hAnsi="仿宋_GB2312" w:cs="仿宋_GB2312"/>
          <w:szCs w:val="32"/>
        </w:rPr>
        <w:t>位志愿者，为英语、西班牙语等外语专业人才</w:t>
      </w:r>
      <w:r>
        <w:rPr>
          <w:rFonts w:hint="eastAsia" w:ascii="仿宋_GB2312" w:hAnsi="仿宋_GB2312" w:cs="仿宋_GB2312"/>
          <w:szCs w:val="32"/>
        </w:rPr>
        <w:t>，受聘后即投身“云游侨博”直播服务。</w:t>
      </w:r>
    </w:p>
    <w:p>
      <w:pPr>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eastAsia="zh-CN"/>
        </w:rPr>
        <w:drawing>
          <wp:inline distT="0" distB="0" distL="114300" distR="114300">
            <wp:extent cx="4050030" cy="3241040"/>
            <wp:effectExtent l="0" t="0" r="7620" b="16510"/>
            <wp:docPr id="7" name="图片 7" descr="8、流动的爱国主义教育基地进校园巡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流动的爱国主义教育基地进校园巡展"/>
                    <pic:cNvPicPr>
                      <a:picLocks noChangeAspect="1"/>
                    </pic:cNvPicPr>
                  </pic:nvPicPr>
                  <pic:blipFill>
                    <a:blip r:embed="rId12"/>
                    <a:stretch>
                      <a:fillRect/>
                    </a:stretch>
                  </pic:blipFill>
                  <pic:spPr>
                    <a:xfrm>
                      <a:off x="0" y="0"/>
                      <a:ext cx="4050030" cy="3241040"/>
                    </a:xfrm>
                    <a:prstGeom prst="rect">
                      <a:avLst/>
                    </a:prstGeom>
                  </pic:spPr>
                </pic:pic>
              </a:graphicData>
            </a:graphic>
          </wp:inline>
        </w:drawing>
      </w:r>
    </w:p>
    <w:p>
      <w:pPr>
        <w:ind w:firstLine="680" w:firstLineChars="200"/>
        <w:rPr>
          <w:rFonts w:ascii="黑体" w:hAnsi="黑体" w:eastAsia="黑体" w:cs="黑体"/>
          <w:b/>
          <w:bCs/>
          <w:szCs w:val="32"/>
        </w:rPr>
      </w:pPr>
      <w:r>
        <w:rPr>
          <w:rFonts w:hint="eastAsia" w:ascii="黑体" w:hAnsi="黑体" w:eastAsia="黑体" w:cs="黑体"/>
          <w:b/>
          <w:bCs/>
          <w:szCs w:val="32"/>
        </w:rPr>
        <w:t>八、围绕中心工作，加强研究交流</w:t>
      </w:r>
    </w:p>
    <w:p>
      <w:pPr>
        <w:ind w:firstLine="680" w:firstLineChars="200"/>
        <w:rPr>
          <w:rFonts w:ascii="仿宋_GB2312" w:hAnsi="仿宋" w:cs="Times New Roman"/>
          <w:szCs w:val="32"/>
        </w:rPr>
      </w:pPr>
      <w:r>
        <w:rPr>
          <w:rFonts w:hint="eastAsia" w:ascii="楷体_GB2312" w:hAnsi="楷体_GB2312" w:eastAsia="楷体_GB2312" w:cs="楷体_GB2312"/>
          <w:b/>
          <w:bCs/>
          <w:szCs w:val="32"/>
        </w:rPr>
        <w:t>一是</w:t>
      </w:r>
      <w:r>
        <w:rPr>
          <w:rFonts w:hint="eastAsia" w:ascii="宋体" w:hAnsi="宋体" w:eastAsia="宋体" w:cs="宋体"/>
          <w:szCs w:val="32"/>
        </w:rPr>
        <w:t>2020</w:t>
      </w:r>
      <w:r>
        <w:rPr>
          <w:rFonts w:hint="eastAsia" w:ascii="仿宋_GB2312" w:hAnsi="仿宋_GB2312" w:cs="仿宋_GB2312"/>
          <w:szCs w:val="32"/>
        </w:rPr>
        <w:t>年在侨博官网推出《侨光异彩——藏品见证的侨史》网上涉侨藏品图文展示专栏的基础上，今年从线上走到线下，于国际博物馆日出版成书。</w:t>
      </w:r>
      <w:r>
        <w:rPr>
          <w:rFonts w:hint="eastAsia" w:ascii="楷体_GB2312" w:hAnsi="楷体_GB2312" w:eastAsia="楷体_GB2312" w:cs="楷体_GB2312"/>
          <w:b/>
          <w:bCs/>
          <w:szCs w:val="32"/>
        </w:rPr>
        <w:t>二是</w:t>
      </w:r>
      <w:r>
        <w:rPr>
          <w:rFonts w:hint="eastAsia" w:ascii="仿宋_GB2312" w:hAnsi="仿宋" w:cs="Times New Roman"/>
          <w:szCs w:val="32"/>
        </w:rPr>
        <w:t>组织中国博协华侨博物馆专委会成员单位，举办庆祝建党</w:t>
      </w:r>
      <w:r>
        <w:rPr>
          <w:rFonts w:hint="eastAsia" w:ascii="宋体" w:hAnsi="宋体" w:eastAsia="宋体" w:cs="宋体"/>
          <w:szCs w:val="32"/>
        </w:rPr>
        <w:t>100</w:t>
      </w:r>
      <w:r>
        <w:rPr>
          <w:rFonts w:hint="eastAsia" w:ascii="仿宋_GB2312" w:hAnsi="仿宋" w:cs="Times New Roman"/>
          <w:szCs w:val="32"/>
        </w:rPr>
        <w:t>周年征文比赛，收到投递文章数十篇，并在多个网络平台刊发优秀文章；在杭州举办“中共党史与华侨史”专题培训，来自全国</w:t>
      </w:r>
      <w:r>
        <w:rPr>
          <w:rFonts w:hint="eastAsia" w:ascii="宋体" w:hAnsi="宋体" w:eastAsia="宋体" w:cs="宋体"/>
          <w:szCs w:val="32"/>
        </w:rPr>
        <w:t>9</w:t>
      </w:r>
      <w:r>
        <w:rPr>
          <w:rFonts w:hint="eastAsia" w:ascii="仿宋_GB2312" w:hAnsi="仿宋" w:cs="Times New Roman"/>
          <w:szCs w:val="32"/>
        </w:rPr>
        <w:t>省市</w:t>
      </w:r>
      <w:r>
        <w:rPr>
          <w:rFonts w:hint="eastAsia" w:ascii="宋体" w:hAnsi="宋体" w:eastAsia="宋体" w:cs="宋体"/>
          <w:szCs w:val="32"/>
        </w:rPr>
        <w:t>70</w:t>
      </w:r>
      <w:r>
        <w:rPr>
          <w:rFonts w:hint="eastAsia" w:ascii="仿宋_GB2312" w:hAnsi="仿宋" w:cs="Times New Roman"/>
          <w:szCs w:val="32"/>
        </w:rPr>
        <w:t>余位专委会成员单位、涉侨文博机构和基层侨联工作人员参加培训；</w:t>
      </w:r>
      <w:r>
        <w:rPr>
          <w:rFonts w:ascii="仿宋_GB2312" w:hAnsi="仿宋" w:cs="Times New Roman"/>
          <w:szCs w:val="32"/>
        </w:rPr>
        <w:t>在上海成功举办“赤子侨心跟党走——</w:t>
      </w:r>
      <w:r>
        <w:rPr>
          <w:rFonts w:hint="eastAsia" w:ascii="宋体" w:hAnsi="宋体" w:eastAsia="宋体" w:cs="宋体"/>
          <w:szCs w:val="32"/>
        </w:rPr>
        <w:t>2021</w:t>
      </w:r>
      <w:r>
        <w:rPr>
          <w:rFonts w:ascii="仿宋_GB2312" w:hAnsi="仿宋" w:cs="Times New Roman"/>
          <w:szCs w:val="32"/>
        </w:rPr>
        <w:t>年‘侨博杯’讲解比赛”决赛，全国各涉侨博物馆</w:t>
      </w:r>
      <w:r>
        <w:rPr>
          <w:rFonts w:hint="eastAsia" w:ascii="宋体" w:hAnsi="宋体" w:eastAsia="宋体" w:cs="宋体"/>
          <w:szCs w:val="32"/>
        </w:rPr>
        <w:t>24</w:t>
      </w:r>
      <w:r>
        <w:rPr>
          <w:rFonts w:ascii="仿宋_GB2312" w:hAnsi="仿宋" w:cs="Times New Roman"/>
          <w:szCs w:val="32"/>
        </w:rPr>
        <w:t>名讲解员参加比赛</w:t>
      </w:r>
      <w:r>
        <w:rPr>
          <w:rFonts w:hint="eastAsia" w:ascii="仿宋_GB2312" w:hAnsi="仿宋" w:cs="Times New Roman"/>
          <w:szCs w:val="32"/>
        </w:rPr>
        <w:t>；与泉州革命历史博物馆合作举办“红色情结永驻侨心”——华侨博物馆专业委员会华侨革命文物纪念展线上线下展览。</w:t>
      </w:r>
      <w:bookmarkStart w:id="0" w:name="_Hlk87994336"/>
      <w:r>
        <w:rPr>
          <w:rFonts w:hint="eastAsia" w:ascii="楷体_GB2312" w:hAnsi="楷体_GB2312" w:eastAsia="楷体_GB2312" w:cs="楷体_GB2312"/>
          <w:b/>
          <w:bCs/>
          <w:szCs w:val="32"/>
        </w:rPr>
        <w:t>三是</w:t>
      </w:r>
      <w:r>
        <w:rPr>
          <w:rFonts w:hint="eastAsia" w:ascii="仿宋_GB2312" w:hAnsi="仿宋" w:cs="Times New Roman"/>
          <w:szCs w:val="32"/>
        </w:rPr>
        <w:t>完成</w:t>
      </w:r>
      <w:bookmarkEnd w:id="0"/>
      <w:r>
        <w:rPr>
          <w:rFonts w:hint="eastAsia" w:ascii="仿宋_GB2312" w:hAnsi="仿宋" w:cs="Times New Roman"/>
          <w:szCs w:val="32"/>
        </w:rPr>
        <w:t>政协十三届四次会议刘以勤等</w:t>
      </w:r>
      <w:r>
        <w:rPr>
          <w:rFonts w:hint="eastAsia" w:ascii="宋体" w:hAnsi="宋体" w:eastAsia="宋体" w:cs="宋体"/>
          <w:szCs w:val="32"/>
        </w:rPr>
        <w:t>3</w:t>
      </w:r>
      <w:r>
        <w:rPr>
          <w:rFonts w:ascii="仿宋_GB2312" w:hAnsi="仿宋" w:cs="Times New Roman"/>
          <w:szCs w:val="32"/>
        </w:rPr>
        <w:t>名委员“关于充分发挥涉侨类博物馆对于爱国、爱党宣教工作作用的提案”</w:t>
      </w:r>
      <w:r>
        <w:rPr>
          <w:rFonts w:hint="eastAsia" w:ascii="仿宋_GB2312" w:hAnsi="仿宋" w:cs="Times New Roman"/>
          <w:szCs w:val="32"/>
        </w:rPr>
        <w:t>的</w:t>
      </w:r>
      <w:r>
        <w:rPr>
          <w:rFonts w:ascii="仿宋_GB2312" w:hAnsi="仿宋" w:cs="Times New Roman"/>
          <w:szCs w:val="32"/>
        </w:rPr>
        <w:t>回复</w:t>
      </w:r>
      <w:r>
        <w:rPr>
          <w:rFonts w:hint="eastAsia" w:ascii="仿宋_GB2312" w:hAnsi="仿宋" w:cs="Times New Roman"/>
          <w:szCs w:val="32"/>
        </w:rPr>
        <w:t>。</w:t>
      </w:r>
      <w:r>
        <w:rPr>
          <w:rFonts w:hint="eastAsia" w:ascii="楷体_GB2312" w:hAnsi="楷体_GB2312" w:eastAsia="楷体_GB2312" w:cs="楷体_GB2312"/>
          <w:b/>
          <w:bCs/>
          <w:szCs w:val="32"/>
        </w:rPr>
        <w:t>四是</w:t>
      </w:r>
      <w:r>
        <w:rPr>
          <w:rFonts w:hint="eastAsia" w:ascii="仿宋_GB2312" w:hAnsi="仿宋" w:cs="Times New Roman"/>
          <w:szCs w:val="32"/>
        </w:rPr>
        <w:t>完成</w:t>
      </w:r>
      <w:r>
        <w:rPr>
          <w:rFonts w:ascii="仿宋_GB2312" w:hAnsi="仿宋" w:cs="Times New Roman"/>
          <w:szCs w:val="32"/>
        </w:rPr>
        <w:t>中国侨联</w:t>
      </w:r>
      <w:r>
        <w:rPr>
          <w:rFonts w:hint="eastAsia" w:ascii="宋体" w:hAnsi="宋体" w:eastAsia="宋体" w:cs="宋体"/>
          <w:szCs w:val="32"/>
        </w:rPr>
        <w:t>2020</w:t>
      </w:r>
      <w:r>
        <w:rPr>
          <w:rFonts w:ascii="仿宋_GB2312" w:hAnsi="仿宋" w:cs="Times New Roman"/>
          <w:szCs w:val="32"/>
        </w:rPr>
        <w:t>年度调研课题报告《“侨博”网络化形态公众服务的创新思考与实践探索》</w:t>
      </w:r>
      <w:r>
        <w:rPr>
          <w:rFonts w:hint="eastAsia" w:ascii="仿宋_GB2312" w:hAnsi="仿宋" w:cs="Times New Roman"/>
          <w:szCs w:val="32"/>
        </w:rPr>
        <w:t>，</w:t>
      </w:r>
      <w:r>
        <w:rPr>
          <w:rFonts w:ascii="仿宋_GB2312" w:hAnsi="仿宋" w:cs="Times New Roman"/>
          <w:szCs w:val="32"/>
        </w:rPr>
        <w:t>获得二等奖。</w:t>
      </w:r>
    </w:p>
    <w:p>
      <w:pPr>
        <w:ind w:firstLine="680" w:firstLineChars="200"/>
        <w:rPr>
          <w:rFonts w:ascii="黑体" w:hAnsi="黑体" w:eastAsia="黑体" w:cs="黑体"/>
          <w:b/>
          <w:bCs/>
          <w:szCs w:val="32"/>
        </w:rPr>
      </w:pPr>
      <w:r>
        <w:rPr>
          <w:rFonts w:hint="eastAsia" w:ascii="黑体" w:hAnsi="黑体" w:eastAsia="黑体" w:cs="黑体"/>
          <w:b/>
          <w:bCs/>
          <w:szCs w:val="32"/>
        </w:rPr>
        <w:t>九、加强信息化建设，为博物馆展示宣传打造更多新模式新手段</w:t>
      </w:r>
    </w:p>
    <w:p>
      <w:pPr>
        <w:ind w:firstLine="680" w:firstLineChars="200"/>
        <w:rPr>
          <w:rFonts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仿宋_GB2312" w:cs="仿宋_GB2312"/>
          <w:szCs w:val="32"/>
        </w:rPr>
        <w:t>壮大侨博的融媒体平台矩阵。在去年开通多个融媒体平台账号的基础上</w:t>
      </w:r>
      <w:r>
        <w:rPr>
          <w:rFonts w:hint="eastAsia" w:eastAsia="宋体" w:cs="宋体"/>
          <w:szCs w:val="32"/>
        </w:rPr>
        <w:t>，</w:t>
      </w:r>
      <w:r>
        <w:rPr>
          <w:rFonts w:hint="eastAsia" w:ascii="仿宋_GB2312" w:cs="宋体"/>
          <w:szCs w:val="32"/>
        </w:rPr>
        <w:t>今年</w:t>
      </w:r>
      <w:r>
        <w:rPr>
          <w:rFonts w:hint="eastAsia" w:ascii="仿宋_GB2312" w:hAnsi="仿宋_GB2312" w:cs="仿宋_GB2312"/>
          <w:szCs w:val="32"/>
        </w:rPr>
        <w:t>继续开通新华号、支付宝等账号，拓宽网络媒体平台合作范围。</w:t>
      </w:r>
      <w:r>
        <w:rPr>
          <w:rFonts w:hint="eastAsia" w:ascii="楷体_GB2312" w:hAnsi="楷体_GB2312" w:eastAsia="楷体_GB2312" w:cs="楷体_GB2312"/>
          <w:b/>
          <w:bCs/>
          <w:szCs w:val="32"/>
        </w:rPr>
        <w:t>二是</w:t>
      </w:r>
      <w:r>
        <w:rPr>
          <w:rFonts w:hint="eastAsia" w:ascii="仿宋_GB2312" w:hAnsi="仿宋_GB2312" w:cs="仿宋_GB2312"/>
          <w:szCs w:val="32"/>
        </w:rPr>
        <w:t>通过直播数据分析，加强发展方向指引。与新华网合作，利用其大数据平台对参与此次直播的</w:t>
      </w:r>
      <w:r>
        <w:rPr>
          <w:rFonts w:hint="eastAsia" w:ascii="宋体" w:hAnsi="宋体" w:eastAsia="宋体" w:cs="宋体"/>
          <w:szCs w:val="32"/>
        </w:rPr>
        <w:t>12</w:t>
      </w:r>
      <w:r>
        <w:rPr>
          <w:rFonts w:hint="eastAsia" w:ascii="仿宋_GB2312" w:hAnsi="仿宋_GB2312" w:cs="仿宋_GB2312"/>
          <w:szCs w:val="32"/>
        </w:rPr>
        <w:t>个融媒体平台进行流量监测，对观看人数、观众的地域分布、在线时长、感兴趣的话题、讨论情况等进行综合分析，并给出合理可行的意见建议，为后期策划相关的节目提供参考和依据。</w:t>
      </w:r>
      <w:r>
        <w:rPr>
          <w:rFonts w:hint="eastAsia" w:ascii="楷体_GB2312" w:hAnsi="楷体_GB2312" w:eastAsia="楷体_GB2312" w:cs="楷体_GB2312"/>
          <w:b/>
          <w:bCs/>
          <w:szCs w:val="32"/>
        </w:rPr>
        <w:t>三是</w:t>
      </w:r>
      <w:r>
        <w:rPr>
          <w:rFonts w:hint="eastAsia" w:ascii="仿宋_GB2312" w:hAnsi="Courier New" w:cs="Courier New"/>
          <w:color w:val="000000"/>
          <w:kern w:val="0"/>
          <w:szCs w:val="32"/>
        </w:rPr>
        <w:t>加强网络安全建设，有效防范网络风险。落实网络安全等级保护工作，完成等级评测、定级、备案、整改等工作，制定并完善各类制度</w:t>
      </w:r>
      <w:r>
        <w:rPr>
          <w:rFonts w:hint="eastAsia" w:ascii="宋体" w:hAnsi="宋体" w:eastAsia="宋体" w:cs="宋体"/>
          <w:szCs w:val="32"/>
        </w:rPr>
        <w:t>18</w:t>
      </w:r>
      <w:r>
        <w:rPr>
          <w:rFonts w:hint="eastAsia" w:ascii="仿宋_GB2312" w:hAnsi="Courier New" w:cs="Courier New"/>
          <w:color w:val="000000"/>
          <w:kern w:val="0"/>
          <w:szCs w:val="32"/>
        </w:rPr>
        <w:t>项；完成</w:t>
      </w:r>
      <w:r>
        <w:rPr>
          <w:rFonts w:hint="eastAsia" w:ascii="宋体" w:hAnsi="宋体" w:eastAsia="宋体" w:cs="宋体"/>
          <w:szCs w:val="32"/>
        </w:rPr>
        <w:t>3</w:t>
      </w:r>
      <w:r>
        <w:rPr>
          <w:rFonts w:hint="eastAsia" w:ascii="仿宋_GB2312" w:hAnsi="Courier New" w:cs="Courier New"/>
          <w:color w:val="000000"/>
          <w:kern w:val="0"/>
          <w:szCs w:val="32"/>
        </w:rPr>
        <w:t>次网络安全专项检查和排查，并对存在的问题进行整改；制定了计算机网络安全应急预案，按要求上报信息传播部</w:t>
      </w:r>
      <w:r>
        <w:rPr>
          <w:rFonts w:hint="eastAsia" w:ascii="仿宋_GB2312" w:hAnsi="仿宋_GB2312" w:cs="仿宋_GB2312"/>
          <w:szCs w:val="32"/>
        </w:rPr>
        <w:t>。</w:t>
      </w:r>
    </w:p>
    <w:p>
      <w:pPr>
        <w:ind w:firstLine="680" w:firstLineChars="200"/>
        <w:rPr>
          <w:rFonts w:ascii="黑体" w:hAnsi="黑体" w:eastAsia="黑体" w:cs="黑体"/>
          <w:b/>
          <w:bCs/>
          <w:szCs w:val="32"/>
        </w:rPr>
      </w:pPr>
      <w:r>
        <w:rPr>
          <w:rFonts w:hint="eastAsia" w:ascii="黑体" w:hAnsi="黑体" w:eastAsia="黑体" w:cs="黑体"/>
          <w:b/>
          <w:bCs/>
          <w:szCs w:val="32"/>
        </w:rPr>
        <w:t>十、依规循矩做好综合保障工作，确保博物馆正常运营</w:t>
      </w:r>
    </w:p>
    <w:p>
      <w:pPr>
        <w:ind w:firstLine="680" w:firstLineChars="200"/>
        <w:rPr>
          <w:rFonts w:hint="eastAsia" w:ascii="仿宋_GB2312" w:hAnsi="仿宋_GB2312" w:cs="仿宋_GB2312"/>
          <w:szCs w:val="32"/>
        </w:rPr>
      </w:pPr>
      <w:r>
        <w:rPr>
          <w:rFonts w:hint="eastAsia" w:ascii="楷体_GB2312" w:hAnsi="楷体_GB2312" w:eastAsia="楷体_GB2312" w:cs="楷体_GB2312"/>
          <w:b/>
          <w:bCs/>
          <w:szCs w:val="32"/>
        </w:rPr>
        <w:t>一是</w:t>
      </w:r>
      <w:r>
        <w:rPr>
          <w:rFonts w:hint="eastAsia" w:ascii="仿宋_GB2312" w:hAnsi="仿宋_GB2312" w:cs="仿宋_GB2312"/>
          <w:szCs w:val="32"/>
        </w:rPr>
        <w:t>严格执行</w:t>
      </w:r>
      <w:r>
        <w:rPr>
          <w:rFonts w:hint="eastAsia" w:ascii="宋体" w:hAnsi="宋体" w:eastAsia="宋体" w:cs="宋体"/>
          <w:szCs w:val="32"/>
        </w:rPr>
        <w:t>24</w:t>
      </w:r>
      <w:r>
        <w:rPr>
          <w:rFonts w:hint="eastAsia" w:ascii="仿宋_GB2312" w:hAnsi="仿宋_GB2312" w:cs="仿宋_GB2312"/>
          <w:szCs w:val="32"/>
        </w:rPr>
        <w:t>小时安全值班制度，实行重大活动、节假日安检和平时定期安检相结合的制度，确保全年馆舍安全、藏品安全、观众安全。</w:t>
      </w:r>
      <w:r>
        <w:rPr>
          <w:rFonts w:hint="eastAsia" w:ascii="楷体_GB2312" w:hAnsi="楷体_GB2312" w:eastAsia="楷体_GB2312" w:cs="楷体_GB2312"/>
          <w:b/>
          <w:bCs/>
          <w:szCs w:val="32"/>
        </w:rPr>
        <w:t>二是</w:t>
      </w:r>
      <w:r>
        <w:rPr>
          <w:rFonts w:hint="eastAsia" w:ascii="仿宋_GB2312" w:hAnsi="仿宋_GB2312" w:cs="仿宋_GB2312"/>
          <w:szCs w:val="32"/>
        </w:rPr>
        <w:t>认真执行设备维保制度，落实日常巡视制度和维护测试制度，排除设备安全隐患。</w:t>
      </w:r>
      <w:r>
        <w:rPr>
          <w:rFonts w:hint="eastAsia" w:ascii="楷体_GB2312" w:hAnsi="楷体_GB2312" w:eastAsia="楷体_GB2312" w:cs="楷体_GB2312"/>
          <w:b/>
          <w:bCs/>
          <w:szCs w:val="32"/>
        </w:rPr>
        <w:t>三是</w:t>
      </w:r>
      <w:r>
        <w:rPr>
          <w:rFonts w:hint="eastAsia" w:ascii="仿宋_GB2312" w:hAnsi="仿宋_GB2312" w:cs="仿宋_GB2312"/>
          <w:szCs w:val="32"/>
        </w:rPr>
        <w:t>严格按照政府采购规定，依托中央和国家机关政府采购中心平台完成</w:t>
      </w:r>
      <w:r>
        <w:rPr>
          <w:rFonts w:hint="eastAsia" w:ascii="宋体" w:hAnsi="宋体" w:eastAsia="宋体" w:cs="宋体"/>
          <w:szCs w:val="32"/>
        </w:rPr>
        <w:t>2021-2024</w:t>
      </w:r>
      <w:r>
        <w:rPr>
          <w:rFonts w:hint="eastAsia" w:ascii="仿宋_GB2312" w:hAnsi="仿宋_GB2312" w:cs="仿宋_GB2312"/>
          <w:szCs w:val="32"/>
        </w:rPr>
        <w:t>年物业招标工作，北京首华物业管理公司中标，中标金额</w:t>
      </w:r>
      <w:r>
        <w:rPr>
          <w:rFonts w:hint="eastAsia" w:ascii="宋体" w:hAnsi="宋体" w:eastAsia="宋体" w:cs="宋体"/>
          <w:szCs w:val="32"/>
        </w:rPr>
        <w:t>1330.56</w:t>
      </w:r>
      <w:r>
        <w:rPr>
          <w:rFonts w:ascii="仿宋_GB2312" w:hAnsi="仿宋_GB2312" w:cs="仿宋_GB2312"/>
          <w:szCs w:val="32"/>
        </w:rPr>
        <w:t>万元</w:t>
      </w:r>
      <w:r>
        <w:rPr>
          <w:rFonts w:hint="eastAsia" w:ascii="仿宋_GB2312" w:hAnsi="仿宋_GB2312" w:cs="仿宋_GB2312"/>
          <w:szCs w:val="32"/>
        </w:rPr>
        <w:t>。</w:t>
      </w:r>
      <w:r>
        <w:rPr>
          <w:rFonts w:hint="eastAsia" w:ascii="楷体_GB2312" w:hAnsi="楷体_GB2312" w:eastAsia="楷体_GB2312" w:cs="楷体_GB2312"/>
          <w:b/>
          <w:bCs/>
          <w:szCs w:val="32"/>
        </w:rPr>
        <w:t>四是</w:t>
      </w:r>
      <w:r>
        <w:rPr>
          <w:rFonts w:hint="eastAsia" w:ascii="仿宋_GB2312" w:hAnsi="仿宋_GB2312" w:cs="仿宋_GB2312"/>
          <w:szCs w:val="32"/>
        </w:rPr>
        <w:t>以打造能进能出、能上能下、才尽其用、干事创业的人事管理机制，培养政治硬、专业强、素质高的干部队伍为目标，扎实推进侨博干部队伍建设。完成</w:t>
      </w:r>
      <w:r>
        <w:rPr>
          <w:rFonts w:hint="eastAsia" w:ascii="宋体" w:hAnsi="宋体" w:eastAsia="宋体" w:cs="宋体"/>
          <w:szCs w:val="32"/>
        </w:rPr>
        <w:t>2021</w:t>
      </w:r>
      <w:r>
        <w:rPr>
          <w:rFonts w:hint="eastAsia" w:ascii="仿宋_GB2312" w:hAnsi="仿宋_GB2312" w:cs="仿宋_GB2312"/>
          <w:szCs w:val="32"/>
        </w:rPr>
        <w:t>年公开招聘，引进</w:t>
      </w:r>
      <w:r>
        <w:rPr>
          <w:rFonts w:hint="eastAsia" w:ascii="宋体" w:hAnsi="宋体" w:eastAsia="宋体" w:cs="宋体"/>
          <w:szCs w:val="32"/>
        </w:rPr>
        <w:t>1</w:t>
      </w:r>
      <w:r>
        <w:rPr>
          <w:rFonts w:hint="eastAsia" w:ascii="仿宋_GB2312" w:hAnsi="仿宋_GB2312" w:cs="仿宋_GB2312"/>
          <w:szCs w:val="32"/>
        </w:rPr>
        <w:t>名具有文博工作经历的海归博士；完成</w:t>
      </w:r>
      <w:r>
        <w:rPr>
          <w:rFonts w:hint="eastAsia" w:ascii="宋体" w:hAnsi="宋体" w:eastAsia="宋体" w:cs="宋体"/>
          <w:szCs w:val="32"/>
        </w:rPr>
        <w:t>2</w:t>
      </w:r>
      <w:r>
        <w:rPr>
          <w:rFonts w:hint="eastAsia" w:ascii="仿宋_GB2312" w:hAnsi="仿宋_GB2312" w:cs="仿宋_GB2312"/>
          <w:szCs w:val="32"/>
        </w:rPr>
        <w:t>人次的转岗和</w:t>
      </w:r>
      <w:r>
        <w:rPr>
          <w:rFonts w:hint="eastAsia" w:ascii="宋体" w:hAnsi="宋体" w:eastAsia="宋体" w:cs="宋体"/>
          <w:szCs w:val="32"/>
        </w:rPr>
        <w:t>4</w:t>
      </w:r>
      <w:r>
        <w:rPr>
          <w:rFonts w:hint="eastAsia" w:ascii="仿宋_GB2312" w:hAnsi="仿宋_GB2312" w:cs="仿宋_GB2312"/>
          <w:szCs w:val="32"/>
        </w:rPr>
        <w:t>名管理岗位人员的晋升。</w:t>
      </w:r>
      <w:bookmarkStart w:id="1" w:name="_Hlk87996504"/>
      <w:r>
        <w:rPr>
          <w:rFonts w:hint="eastAsia" w:ascii="楷体_GB2312" w:hAnsi="楷体_GB2312" w:eastAsia="楷体_GB2312" w:cs="楷体_GB2312"/>
          <w:b/>
          <w:bCs/>
          <w:szCs w:val="32"/>
        </w:rPr>
        <w:t>五是</w:t>
      </w:r>
      <w:r>
        <w:rPr>
          <w:rFonts w:hint="eastAsia" w:ascii="仿宋_GB2312" w:hAnsi="仿宋_GB2312" w:cs="仿宋_GB2312"/>
          <w:szCs w:val="32"/>
        </w:rPr>
        <w:t>严格按</w:t>
      </w:r>
      <w:bookmarkEnd w:id="1"/>
      <w:r>
        <w:rPr>
          <w:rFonts w:hint="eastAsia" w:ascii="仿宋_GB2312" w:hAnsi="仿宋_GB2312" w:cs="仿宋_GB2312"/>
          <w:szCs w:val="32"/>
        </w:rPr>
        <w:t>法规制度做好财务工作，为博物馆正常运营提供资金保障，确保资金使用安全合格。</w:t>
      </w:r>
      <w:r>
        <w:rPr>
          <w:rFonts w:ascii="仿宋_GB2312" w:hAnsi="仿宋_GB2312" w:cs="仿宋_GB2312"/>
          <w:szCs w:val="32"/>
        </w:rPr>
        <w:t>积极配合审计署</w:t>
      </w:r>
      <w:r>
        <w:rPr>
          <w:rFonts w:hint="eastAsia" w:ascii="宋体" w:hAnsi="宋体" w:eastAsia="宋体" w:cs="宋体"/>
          <w:szCs w:val="32"/>
        </w:rPr>
        <w:t>2020</w:t>
      </w:r>
      <w:r>
        <w:rPr>
          <w:rFonts w:ascii="仿宋_GB2312" w:hAnsi="仿宋_GB2312" w:cs="仿宋_GB2312"/>
          <w:szCs w:val="32"/>
        </w:rPr>
        <w:t>年预算执行审计工作。如实填报决算数据，并编制决算说明。做好</w:t>
      </w:r>
      <w:r>
        <w:rPr>
          <w:rFonts w:hint="eastAsia" w:ascii="宋体" w:hAnsi="宋体" w:eastAsia="宋体" w:cs="宋体"/>
          <w:szCs w:val="32"/>
        </w:rPr>
        <w:t>2020</w:t>
      </w:r>
      <w:r>
        <w:rPr>
          <w:rFonts w:ascii="仿宋_GB2312" w:hAnsi="仿宋_GB2312" w:cs="仿宋_GB2312"/>
          <w:szCs w:val="32"/>
        </w:rPr>
        <w:t>年绩效自评，按照各部门实际工作完成情况填写评价指标，各部门工作完成情况良好，分值均在</w:t>
      </w:r>
      <w:r>
        <w:rPr>
          <w:rFonts w:hint="eastAsia" w:ascii="宋体" w:hAnsi="宋体" w:eastAsia="宋体" w:cs="宋体"/>
          <w:szCs w:val="32"/>
        </w:rPr>
        <w:t>80</w:t>
      </w:r>
      <w:r>
        <w:rPr>
          <w:rFonts w:ascii="仿宋_GB2312" w:hAnsi="仿宋_GB2312" w:cs="仿宋_GB2312"/>
          <w:szCs w:val="32"/>
        </w:rPr>
        <w:t>分以上。</w:t>
      </w:r>
      <w:r>
        <w:rPr>
          <w:rFonts w:hint="eastAsia" w:ascii="楷体_GB2312" w:hAnsi="楷体_GB2312" w:eastAsia="楷体_GB2312" w:cs="楷体_GB2312"/>
          <w:b/>
          <w:bCs/>
          <w:szCs w:val="32"/>
        </w:rPr>
        <w:t>六是</w:t>
      </w:r>
      <w:r>
        <w:rPr>
          <w:rFonts w:hint="eastAsia" w:ascii="仿宋_GB2312" w:hAnsi="仿宋_GB2312" w:cs="仿宋_GB2312"/>
          <w:szCs w:val="32"/>
        </w:rPr>
        <w:t>积极配合中国侨联党组对侨博开展的内部巡视工作。</w:t>
      </w:r>
    </w:p>
    <w:p>
      <w:pPr>
        <w:ind w:firstLine="680" w:firstLineChars="200"/>
        <w:rPr>
          <w:rFonts w:hint="eastAsia" w:ascii="仿宋_GB2312" w:hAnsi="仿宋_GB2312" w:eastAsia="仿宋_GB2312" w:cs="仿宋_GB2312"/>
          <w:szCs w:val="32"/>
          <w:lang w:eastAsia="zh-CN"/>
        </w:rPr>
      </w:pPr>
      <w:bookmarkStart w:id="2" w:name="_GoBack"/>
      <w:r>
        <w:rPr>
          <w:rFonts w:hint="eastAsia" w:ascii="仿宋_GB2312" w:hAnsi="仿宋_GB2312" w:eastAsia="仿宋_GB2312" w:cs="仿宋_GB2312"/>
          <w:szCs w:val="32"/>
          <w:lang w:eastAsia="zh-CN"/>
        </w:rPr>
        <w:drawing>
          <wp:inline distT="0" distB="0" distL="114300" distR="114300">
            <wp:extent cx="3862705" cy="2896870"/>
            <wp:effectExtent l="0" t="0" r="4445" b="17780"/>
            <wp:docPr id="11" name="图片 11" descr="11、12月24日，隋军副主席到侨博馆区进行专项安全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2月24日，隋军副主席到侨博馆区进行专项安全检查"/>
                    <pic:cNvPicPr>
                      <a:picLocks noChangeAspect="1"/>
                    </pic:cNvPicPr>
                  </pic:nvPicPr>
                  <pic:blipFill>
                    <a:blip r:embed="rId13"/>
                    <a:stretch>
                      <a:fillRect/>
                    </a:stretch>
                  </pic:blipFill>
                  <pic:spPr>
                    <a:xfrm>
                      <a:off x="0" y="0"/>
                      <a:ext cx="3862705" cy="2896870"/>
                    </a:xfrm>
                    <a:prstGeom prst="rect">
                      <a:avLst/>
                    </a:prstGeom>
                  </pic:spPr>
                </pic:pic>
              </a:graphicData>
            </a:graphic>
          </wp:inline>
        </w:drawing>
      </w:r>
      <w:bookmarkEnd w:id="2"/>
    </w:p>
    <w:p>
      <w:pPr>
        <w:ind w:firstLine="680" w:firstLineChars="200"/>
        <w:rPr>
          <w:rFonts w:ascii="仿宋_GB2312" w:hAnsi="仿宋_GB2312" w:cs="仿宋_GB2312"/>
          <w:bCs/>
          <w:kern w:val="0"/>
          <w:szCs w:val="32"/>
        </w:rPr>
      </w:pPr>
      <w:r>
        <w:rPr>
          <w:rFonts w:hint="eastAsia" w:ascii="仿宋_GB2312" w:hAnsi="仿宋_GB2312" w:cs="仿宋_GB2312"/>
          <w:bCs/>
          <w:kern w:val="0"/>
          <w:szCs w:val="32"/>
        </w:rPr>
        <w:t>侨博取得的以上成绩，得益于会领导的坚强领导和关心指导、得益于各部门的帮助支持，同时也是全馆干部顶住疫情压力，开拓创新、努力拼搏的结果。取得成绩的同时，侨博仍然存在着资金和社会资源短缺、藏品存量不足、原创精品展少等难题。在</w:t>
      </w:r>
      <w:r>
        <w:rPr>
          <w:rFonts w:hint="eastAsia" w:ascii="宋体" w:hAnsi="宋体" w:eastAsia="宋体" w:cs="宋体"/>
          <w:szCs w:val="32"/>
        </w:rPr>
        <w:t>2022</w:t>
      </w:r>
      <w:r>
        <w:rPr>
          <w:rFonts w:hint="eastAsia" w:ascii="仿宋_GB2312" w:hAnsi="仿宋_GB2312" w:cs="仿宋_GB2312"/>
          <w:bCs/>
          <w:kern w:val="0"/>
          <w:szCs w:val="32"/>
        </w:rPr>
        <w:t>年，侨博将在会党组的带领下，继续发扬创新和奋斗精神，针对上述重要问题采取切实措施，破解难题，再创佳绩。</w:t>
      </w:r>
    </w:p>
    <w:p>
      <w:pPr>
        <w:ind w:firstLine="680" w:firstLineChars="200"/>
        <w:rPr>
          <w:rFonts w:ascii="仿宋_GB2312" w:hAnsi="仿宋_GB2312" w:cs="仿宋_GB2312"/>
          <w:bCs/>
          <w:kern w:val="0"/>
          <w:szCs w:val="32"/>
        </w:rPr>
      </w:pPr>
    </w:p>
    <w:p>
      <w:pPr>
        <w:tabs>
          <w:tab w:val="left" w:pos="2043"/>
        </w:tabs>
        <w:ind w:firstLine="680" w:firstLineChars="200"/>
        <w:rPr>
          <w:rFonts w:ascii="仿宋_GB2312"/>
          <w:szCs w:val="32"/>
        </w:rPr>
      </w:pPr>
    </w:p>
    <w:sectPr>
      <w:footerReference r:id="rId3" w:type="default"/>
      <w:footerReference r:id="rId4" w:type="even"/>
      <w:pgSz w:w="11906" w:h="16838"/>
      <w:pgMar w:top="2098" w:right="1474" w:bottom="1985" w:left="1588" w:header="851" w:footer="1400" w:gutter="0"/>
      <w:cols w:space="425" w:num="1"/>
      <w:docGrid w:type="linesAndChars" w:linePitch="579" w:charSpace="41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ind w:right="320" w:rightChars="100"/>
      <w:jc w:val="right"/>
      <w:rPr>
        <w:rFonts w:asciiTheme="minorEastAsia" w:hAnsiTheme="minorEastAsia" w:eastAsiaTheme="minorEastAsia"/>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wordWrap w:val="0"/>
                            <w:ind w:right="320" w:rightChars="100"/>
                            <w:jc w:val="right"/>
                          </w:pPr>
                          <w:r>
                            <w:rPr>
                              <w:rFonts w:hint="eastAsia" w:asciiTheme="minorEastAsia" w:hAnsiTheme="minorEastAsia" w:eastAsiaTheme="minorEastAsia"/>
                              <w:sz w:val="28"/>
                            </w:rPr>
                            <w:t xml:space="preserve">— </w:t>
                          </w:r>
                          <w:sdt>
                            <w:sdtPr>
                              <w:rPr>
                                <w:rFonts w:asciiTheme="minorEastAsia" w:hAnsiTheme="minorEastAsia" w:eastAsiaTheme="minorEastAsia"/>
                                <w:sz w:val="28"/>
                              </w:rPr>
                              <w:id w:val="-1057931030"/>
                            </w:sdtPr>
                            <w:sdtEndPr>
                              <w:rPr>
                                <w:rFonts w:asciiTheme="minorEastAsia" w:hAnsiTheme="minorEastAsia" w:eastAsiaTheme="minorEastAsia"/>
                                <w:sz w:val="28"/>
                              </w:rPr>
                            </w:sdtEndPr>
                            <w:sdtContent>
                              <w:r>
                                <w:rPr>
                                  <w:rFonts w:asciiTheme="minorEastAsia" w:hAnsiTheme="minorEastAsia" w:eastAsiaTheme="minorEastAsia"/>
                                  <w:sz w:val="28"/>
                                </w:rPr>
                                <w:fldChar w:fldCharType="begin"/>
                              </w:r>
                              <w:r>
                                <w:rPr>
                                  <w:rFonts w:asciiTheme="minorEastAsia" w:hAnsiTheme="minorEastAsia" w:eastAsiaTheme="minorEastAsia"/>
                                  <w:sz w:val="28"/>
                                </w:rPr>
                                <w:instrText xml:space="preserve">PAGE   \* MERGEFORMAT</w:instrText>
                              </w:r>
                              <w:r>
                                <w:rPr>
                                  <w:rFonts w:asciiTheme="minorEastAsia" w:hAnsiTheme="minorEastAsia" w:eastAsiaTheme="minorEastAsia"/>
                                  <w:sz w:val="28"/>
                                </w:rPr>
                                <w:fldChar w:fldCharType="separate"/>
                              </w:r>
                              <w:r>
                                <w:rPr>
                                  <w:rFonts w:asciiTheme="minorEastAsia" w:hAnsiTheme="minorEastAsia" w:eastAsiaTheme="minorEastAsia"/>
                                  <w:sz w:val="28"/>
                                  <w:lang w:val="zh-CN"/>
                                </w:rPr>
                                <w:t>9</w:t>
                              </w:r>
                              <w:r>
                                <w:rPr>
                                  <w:rFonts w:asciiTheme="minorEastAsia" w:hAnsiTheme="minorEastAsia" w:eastAsiaTheme="minorEastAsia"/>
                                  <w:sz w:val="28"/>
                                </w:rPr>
                                <w:fldChar w:fldCharType="end"/>
                              </w:r>
                              <w:r>
                                <w:rPr>
                                  <w:rFonts w:hint="eastAsia" w:asciiTheme="minorEastAsia" w:hAnsiTheme="minorEastAsia" w:eastAsiaTheme="minorEastAsia"/>
                                  <w:sz w:val="28"/>
                                </w:rPr>
                                <w:t xml:space="preserve"> </w:t>
                              </w:r>
                            </w:sdtContent>
                          </w:sdt>
                          <w:r>
                            <w:rPr>
                              <w:rFonts w:hint="eastAsia" w:asciiTheme="minorEastAsia" w:hAnsiTheme="minorEastAsia" w:eastAsiaTheme="minorEastAsia"/>
                              <w:sz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wordWrap w:val="0"/>
                      <w:ind w:right="320" w:rightChars="100"/>
                      <w:jc w:val="right"/>
                    </w:pPr>
                    <w:r>
                      <w:rPr>
                        <w:rFonts w:hint="eastAsia" w:asciiTheme="minorEastAsia" w:hAnsiTheme="minorEastAsia" w:eastAsiaTheme="minorEastAsia"/>
                        <w:sz w:val="28"/>
                      </w:rPr>
                      <w:t xml:space="preserve">— </w:t>
                    </w:r>
                    <w:sdt>
                      <w:sdtPr>
                        <w:rPr>
                          <w:rFonts w:asciiTheme="minorEastAsia" w:hAnsiTheme="minorEastAsia" w:eastAsiaTheme="minorEastAsia"/>
                          <w:sz w:val="28"/>
                        </w:rPr>
                        <w:id w:val="-1057931030"/>
                      </w:sdtPr>
                      <w:sdtEndPr>
                        <w:rPr>
                          <w:rFonts w:asciiTheme="minorEastAsia" w:hAnsiTheme="minorEastAsia" w:eastAsiaTheme="minorEastAsia"/>
                          <w:sz w:val="28"/>
                        </w:rPr>
                      </w:sdtEndPr>
                      <w:sdtContent>
                        <w:r>
                          <w:rPr>
                            <w:rFonts w:asciiTheme="minorEastAsia" w:hAnsiTheme="minorEastAsia" w:eastAsiaTheme="minorEastAsia"/>
                            <w:sz w:val="28"/>
                          </w:rPr>
                          <w:fldChar w:fldCharType="begin"/>
                        </w:r>
                        <w:r>
                          <w:rPr>
                            <w:rFonts w:asciiTheme="minorEastAsia" w:hAnsiTheme="minorEastAsia" w:eastAsiaTheme="minorEastAsia"/>
                            <w:sz w:val="28"/>
                          </w:rPr>
                          <w:instrText xml:space="preserve">PAGE   \* MERGEFORMAT</w:instrText>
                        </w:r>
                        <w:r>
                          <w:rPr>
                            <w:rFonts w:asciiTheme="minorEastAsia" w:hAnsiTheme="minorEastAsia" w:eastAsiaTheme="minorEastAsia"/>
                            <w:sz w:val="28"/>
                          </w:rPr>
                          <w:fldChar w:fldCharType="separate"/>
                        </w:r>
                        <w:r>
                          <w:rPr>
                            <w:rFonts w:asciiTheme="minorEastAsia" w:hAnsiTheme="minorEastAsia" w:eastAsiaTheme="minorEastAsia"/>
                            <w:sz w:val="28"/>
                            <w:lang w:val="zh-CN"/>
                          </w:rPr>
                          <w:t>9</w:t>
                        </w:r>
                        <w:r>
                          <w:rPr>
                            <w:rFonts w:asciiTheme="minorEastAsia" w:hAnsiTheme="minorEastAsia" w:eastAsiaTheme="minorEastAsia"/>
                            <w:sz w:val="28"/>
                          </w:rPr>
                          <w:fldChar w:fldCharType="end"/>
                        </w:r>
                        <w:r>
                          <w:rPr>
                            <w:rFonts w:hint="eastAsia" w:asciiTheme="minorEastAsia" w:hAnsiTheme="minorEastAsia" w:eastAsiaTheme="minorEastAsia"/>
                            <w:sz w:val="28"/>
                          </w:rPr>
                          <w:t xml:space="preserve"> </w:t>
                        </w:r>
                      </w:sdtContent>
                    </w:sdt>
                    <w:r>
                      <w:rPr>
                        <w:rFonts w:hint="eastAsia" w:asciiTheme="minorEastAsia" w:hAnsiTheme="minorEastAsia" w:eastAsiaTheme="minorEastAsia"/>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320" w:leftChars="100"/>
      <w:rPr>
        <w:rFonts w:eastAsia="宋体"/>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left="320" w:leftChars="100"/>
                          </w:pPr>
                          <w:r>
                            <w:rPr>
                              <w:rFonts w:hint="eastAsia" w:eastAsia="宋体"/>
                              <w:sz w:val="28"/>
                            </w:rPr>
                            <w:t>—</w:t>
                          </w:r>
                          <w:sdt>
                            <w:sdtPr>
                              <w:rPr>
                                <w:rFonts w:eastAsia="宋体"/>
                                <w:sz w:val="28"/>
                              </w:rPr>
                              <w:id w:val="-437055877"/>
                            </w:sdtPr>
                            <w:sdtEndPr>
                              <w:rPr>
                                <w:rFonts w:eastAsia="宋体"/>
                                <w:sz w:val="28"/>
                              </w:rPr>
                            </w:sdtEndPr>
                            <w:sdtContent>
                              <w:r>
                                <w:rPr>
                                  <w:rFonts w:hint="eastAsia" w:eastAsia="宋体"/>
                                  <w:sz w:val="28"/>
                                </w:rPr>
                                <w:t xml:space="preserve"> </w:t>
                              </w:r>
                              <w:r>
                                <w:rPr>
                                  <w:rFonts w:eastAsia="宋体"/>
                                  <w:sz w:val="28"/>
                                </w:rPr>
                                <w:fldChar w:fldCharType="begin"/>
                              </w:r>
                              <w:r>
                                <w:rPr>
                                  <w:rFonts w:eastAsia="宋体"/>
                                  <w:sz w:val="28"/>
                                </w:rPr>
                                <w:instrText xml:space="preserve">PAGE   \* MERGEFORMAT</w:instrText>
                              </w:r>
                              <w:r>
                                <w:rPr>
                                  <w:rFonts w:eastAsia="宋体"/>
                                  <w:sz w:val="28"/>
                                </w:rPr>
                                <w:fldChar w:fldCharType="separate"/>
                              </w:r>
                              <w:r>
                                <w:rPr>
                                  <w:rFonts w:eastAsia="宋体"/>
                                  <w:sz w:val="28"/>
                                  <w:lang w:val="zh-CN"/>
                                </w:rPr>
                                <w:t>10</w:t>
                              </w:r>
                              <w:r>
                                <w:rPr>
                                  <w:rFonts w:eastAsia="宋体"/>
                                  <w:sz w:val="28"/>
                                </w:rPr>
                                <w:fldChar w:fldCharType="end"/>
                              </w:r>
                              <w:r>
                                <w:rPr>
                                  <w:rFonts w:hint="eastAsia" w:eastAsia="宋体"/>
                                  <w:sz w:val="28"/>
                                </w:rPr>
                                <w:t xml:space="preserve"> —</w:t>
                              </w:r>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
                      <w:ind w:left="320" w:leftChars="100"/>
                    </w:pPr>
                    <w:r>
                      <w:rPr>
                        <w:rFonts w:hint="eastAsia" w:eastAsia="宋体"/>
                        <w:sz w:val="28"/>
                      </w:rPr>
                      <w:t>—</w:t>
                    </w:r>
                    <w:sdt>
                      <w:sdtPr>
                        <w:rPr>
                          <w:rFonts w:eastAsia="宋体"/>
                          <w:sz w:val="28"/>
                        </w:rPr>
                        <w:id w:val="-437055877"/>
                      </w:sdtPr>
                      <w:sdtEndPr>
                        <w:rPr>
                          <w:rFonts w:eastAsia="宋体"/>
                          <w:sz w:val="28"/>
                        </w:rPr>
                      </w:sdtEndPr>
                      <w:sdtContent>
                        <w:r>
                          <w:rPr>
                            <w:rFonts w:hint="eastAsia" w:eastAsia="宋体"/>
                            <w:sz w:val="28"/>
                          </w:rPr>
                          <w:t xml:space="preserve"> </w:t>
                        </w:r>
                        <w:r>
                          <w:rPr>
                            <w:rFonts w:eastAsia="宋体"/>
                            <w:sz w:val="28"/>
                          </w:rPr>
                          <w:fldChar w:fldCharType="begin"/>
                        </w:r>
                        <w:r>
                          <w:rPr>
                            <w:rFonts w:eastAsia="宋体"/>
                            <w:sz w:val="28"/>
                          </w:rPr>
                          <w:instrText xml:space="preserve">PAGE   \* MERGEFORMAT</w:instrText>
                        </w:r>
                        <w:r>
                          <w:rPr>
                            <w:rFonts w:eastAsia="宋体"/>
                            <w:sz w:val="28"/>
                          </w:rPr>
                          <w:fldChar w:fldCharType="separate"/>
                        </w:r>
                        <w:r>
                          <w:rPr>
                            <w:rFonts w:eastAsia="宋体"/>
                            <w:sz w:val="28"/>
                            <w:lang w:val="zh-CN"/>
                          </w:rPr>
                          <w:t>10</w:t>
                        </w:r>
                        <w:r>
                          <w:rPr>
                            <w:rFonts w:eastAsia="宋体"/>
                            <w:sz w:val="28"/>
                          </w:rPr>
                          <w:fldChar w:fldCharType="end"/>
                        </w:r>
                        <w:r>
                          <w:rPr>
                            <w:rFonts w:hint="eastAsia" w:eastAsia="宋体"/>
                            <w:sz w:val="28"/>
                          </w:rPr>
                          <w:t xml:space="preserve"> —</w:t>
                        </w:r>
                      </w:sdtContent>
                    </w:sdt>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attachedTemplate r:id="rId1"/>
  <w:documentProtection w:enforcement="0"/>
  <w:defaultTabStop w:val="420"/>
  <w:evenAndOddHeaders w:val="1"/>
  <w:drawingGridHorizontalSpacing w:val="170"/>
  <w:drawingGridVerticalSpacing w:val="57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hOWMxNWMyMjYwMjk1OTQyNjI5MDczMDRhMWYzNDAifQ=="/>
  </w:docVars>
  <w:rsids>
    <w:rsidRoot w:val="001B4DBA"/>
    <w:rsid w:val="0001707E"/>
    <w:rsid w:val="00023FFB"/>
    <w:rsid w:val="000344DC"/>
    <w:rsid w:val="00034C82"/>
    <w:rsid w:val="000412D0"/>
    <w:rsid w:val="00056B31"/>
    <w:rsid w:val="00062D2B"/>
    <w:rsid w:val="000637CC"/>
    <w:rsid w:val="000672E0"/>
    <w:rsid w:val="00071A0D"/>
    <w:rsid w:val="00076B30"/>
    <w:rsid w:val="00084AE2"/>
    <w:rsid w:val="0008546F"/>
    <w:rsid w:val="000866D6"/>
    <w:rsid w:val="000879EB"/>
    <w:rsid w:val="00090E3E"/>
    <w:rsid w:val="00091F49"/>
    <w:rsid w:val="00097DA7"/>
    <w:rsid w:val="000B4CDD"/>
    <w:rsid w:val="000B689D"/>
    <w:rsid w:val="000C23AE"/>
    <w:rsid w:val="000C69A2"/>
    <w:rsid w:val="000D3203"/>
    <w:rsid w:val="000D40E7"/>
    <w:rsid w:val="000D641F"/>
    <w:rsid w:val="000D748A"/>
    <w:rsid w:val="000E45D4"/>
    <w:rsid w:val="000E521F"/>
    <w:rsid w:val="000E594E"/>
    <w:rsid w:val="000F0585"/>
    <w:rsid w:val="000F72A0"/>
    <w:rsid w:val="001006BF"/>
    <w:rsid w:val="0010087B"/>
    <w:rsid w:val="0010306B"/>
    <w:rsid w:val="00105DB9"/>
    <w:rsid w:val="0010740F"/>
    <w:rsid w:val="001113CA"/>
    <w:rsid w:val="0012026A"/>
    <w:rsid w:val="00124060"/>
    <w:rsid w:val="00137962"/>
    <w:rsid w:val="00142DA2"/>
    <w:rsid w:val="00147124"/>
    <w:rsid w:val="00151CFF"/>
    <w:rsid w:val="00152A6A"/>
    <w:rsid w:val="0016441F"/>
    <w:rsid w:val="001645DA"/>
    <w:rsid w:val="00173422"/>
    <w:rsid w:val="00193311"/>
    <w:rsid w:val="0019617A"/>
    <w:rsid w:val="00196BCB"/>
    <w:rsid w:val="001A2388"/>
    <w:rsid w:val="001A426E"/>
    <w:rsid w:val="001B42DA"/>
    <w:rsid w:val="001B4DBA"/>
    <w:rsid w:val="001B5474"/>
    <w:rsid w:val="001B71FD"/>
    <w:rsid w:val="001C0DCC"/>
    <w:rsid w:val="001C4220"/>
    <w:rsid w:val="001D04E4"/>
    <w:rsid w:val="001E4D96"/>
    <w:rsid w:val="001E6665"/>
    <w:rsid w:val="001E780E"/>
    <w:rsid w:val="001F513E"/>
    <w:rsid w:val="002024AE"/>
    <w:rsid w:val="002073BB"/>
    <w:rsid w:val="00211350"/>
    <w:rsid w:val="002143C3"/>
    <w:rsid w:val="00216AA0"/>
    <w:rsid w:val="00221C27"/>
    <w:rsid w:val="00234037"/>
    <w:rsid w:val="0023481C"/>
    <w:rsid w:val="00234CF2"/>
    <w:rsid w:val="0024228E"/>
    <w:rsid w:val="00244C49"/>
    <w:rsid w:val="0025519B"/>
    <w:rsid w:val="00256AEF"/>
    <w:rsid w:val="00272537"/>
    <w:rsid w:val="00293DA6"/>
    <w:rsid w:val="002A5292"/>
    <w:rsid w:val="002A6ADF"/>
    <w:rsid w:val="002B5BB9"/>
    <w:rsid w:val="002B6F48"/>
    <w:rsid w:val="002D1E26"/>
    <w:rsid w:val="002D2E9B"/>
    <w:rsid w:val="002E4C41"/>
    <w:rsid w:val="002E5266"/>
    <w:rsid w:val="002E5E23"/>
    <w:rsid w:val="002F2A29"/>
    <w:rsid w:val="002F3FAD"/>
    <w:rsid w:val="00307C14"/>
    <w:rsid w:val="00316ECA"/>
    <w:rsid w:val="00323F97"/>
    <w:rsid w:val="0032575A"/>
    <w:rsid w:val="0033058E"/>
    <w:rsid w:val="00334D5A"/>
    <w:rsid w:val="00342327"/>
    <w:rsid w:val="00342B45"/>
    <w:rsid w:val="00350D8B"/>
    <w:rsid w:val="003528F1"/>
    <w:rsid w:val="00352AC1"/>
    <w:rsid w:val="00360A3B"/>
    <w:rsid w:val="0036400B"/>
    <w:rsid w:val="003752B8"/>
    <w:rsid w:val="00375687"/>
    <w:rsid w:val="0037684B"/>
    <w:rsid w:val="00384542"/>
    <w:rsid w:val="003937A8"/>
    <w:rsid w:val="003A7998"/>
    <w:rsid w:val="003B201B"/>
    <w:rsid w:val="003B254A"/>
    <w:rsid w:val="003C0915"/>
    <w:rsid w:val="003C16B1"/>
    <w:rsid w:val="003C4AF7"/>
    <w:rsid w:val="003C6C4F"/>
    <w:rsid w:val="003E359D"/>
    <w:rsid w:val="0040020B"/>
    <w:rsid w:val="0040181D"/>
    <w:rsid w:val="0041278D"/>
    <w:rsid w:val="00413830"/>
    <w:rsid w:val="00414C60"/>
    <w:rsid w:val="00423542"/>
    <w:rsid w:val="00425398"/>
    <w:rsid w:val="00431081"/>
    <w:rsid w:val="004312F4"/>
    <w:rsid w:val="0043631B"/>
    <w:rsid w:val="00442C35"/>
    <w:rsid w:val="00445876"/>
    <w:rsid w:val="00461453"/>
    <w:rsid w:val="0046434B"/>
    <w:rsid w:val="00466BD6"/>
    <w:rsid w:val="004806E0"/>
    <w:rsid w:val="00491A41"/>
    <w:rsid w:val="00491E63"/>
    <w:rsid w:val="004939E3"/>
    <w:rsid w:val="00493C7C"/>
    <w:rsid w:val="004A14CB"/>
    <w:rsid w:val="004A6487"/>
    <w:rsid w:val="004A7944"/>
    <w:rsid w:val="004B35F2"/>
    <w:rsid w:val="004B7AA6"/>
    <w:rsid w:val="004C275F"/>
    <w:rsid w:val="004C5510"/>
    <w:rsid w:val="004C5891"/>
    <w:rsid w:val="004D32D1"/>
    <w:rsid w:val="004D38A2"/>
    <w:rsid w:val="004D4690"/>
    <w:rsid w:val="004D57CD"/>
    <w:rsid w:val="004D5DAB"/>
    <w:rsid w:val="004D777A"/>
    <w:rsid w:val="004D7B70"/>
    <w:rsid w:val="004E4B6E"/>
    <w:rsid w:val="004F6540"/>
    <w:rsid w:val="00503D38"/>
    <w:rsid w:val="00504D4F"/>
    <w:rsid w:val="00505EF3"/>
    <w:rsid w:val="00512501"/>
    <w:rsid w:val="00512CF3"/>
    <w:rsid w:val="00513EDE"/>
    <w:rsid w:val="00517861"/>
    <w:rsid w:val="00523E37"/>
    <w:rsid w:val="00527032"/>
    <w:rsid w:val="00531DAC"/>
    <w:rsid w:val="005437A2"/>
    <w:rsid w:val="00557315"/>
    <w:rsid w:val="00557B76"/>
    <w:rsid w:val="005625B2"/>
    <w:rsid w:val="005625C5"/>
    <w:rsid w:val="00564720"/>
    <w:rsid w:val="00571843"/>
    <w:rsid w:val="005822FA"/>
    <w:rsid w:val="00584542"/>
    <w:rsid w:val="0058619C"/>
    <w:rsid w:val="005958EF"/>
    <w:rsid w:val="005A6153"/>
    <w:rsid w:val="005B42BE"/>
    <w:rsid w:val="005B4438"/>
    <w:rsid w:val="005B47CA"/>
    <w:rsid w:val="005C5FAA"/>
    <w:rsid w:val="005C618A"/>
    <w:rsid w:val="005D5B92"/>
    <w:rsid w:val="005D5DE5"/>
    <w:rsid w:val="005D6508"/>
    <w:rsid w:val="005D6DDB"/>
    <w:rsid w:val="005E0921"/>
    <w:rsid w:val="005F2F4D"/>
    <w:rsid w:val="005F4A94"/>
    <w:rsid w:val="00607AE3"/>
    <w:rsid w:val="006121F9"/>
    <w:rsid w:val="00612CFD"/>
    <w:rsid w:val="00614905"/>
    <w:rsid w:val="00621766"/>
    <w:rsid w:val="006230F1"/>
    <w:rsid w:val="00625A7A"/>
    <w:rsid w:val="0062685A"/>
    <w:rsid w:val="00632BDE"/>
    <w:rsid w:val="00633A13"/>
    <w:rsid w:val="006351C8"/>
    <w:rsid w:val="0064374E"/>
    <w:rsid w:val="00656548"/>
    <w:rsid w:val="00657EA3"/>
    <w:rsid w:val="006633C7"/>
    <w:rsid w:val="006724E9"/>
    <w:rsid w:val="00676E77"/>
    <w:rsid w:val="00677375"/>
    <w:rsid w:val="006859A1"/>
    <w:rsid w:val="00692715"/>
    <w:rsid w:val="006940C2"/>
    <w:rsid w:val="006951D6"/>
    <w:rsid w:val="006D0E9E"/>
    <w:rsid w:val="006D4311"/>
    <w:rsid w:val="006D6659"/>
    <w:rsid w:val="006D77EE"/>
    <w:rsid w:val="006E14E7"/>
    <w:rsid w:val="006F7D89"/>
    <w:rsid w:val="00704841"/>
    <w:rsid w:val="00704FFB"/>
    <w:rsid w:val="00716B37"/>
    <w:rsid w:val="00731B68"/>
    <w:rsid w:val="00736EEB"/>
    <w:rsid w:val="007371CE"/>
    <w:rsid w:val="007379B8"/>
    <w:rsid w:val="00737C9A"/>
    <w:rsid w:val="00745CBB"/>
    <w:rsid w:val="007504A4"/>
    <w:rsid w:val="00753DBA"/>
    <w:rsid w:val="00755537"/>
    <w:rsid w:val="00760A5E"/>
    <w:rsid w:val="00764FB2"/>
    <w:rsid w:val="0077373F"/>
    <w:rsid w:val="00774481"/>
    <w:rsid w:val="007754A3"/>
    <w:rsid w:val="007819F1"/>
    <w:rsid w:val="007A3137"/>
    <w:rsid w:val="007C19FF"/>
    <w:rsid w:val="007C2180"/>
    <w:rsid w:val="007C4E63"/>
    <w:rsid w:val="007D7B07"/>
    <w:rsid w:val="007E16AE"/>
    <w:rsid w:val="00801387"/>
    <w:rsid w:val="00804C1B"/>
    <w:rsid w:val="008066DC"/>
    <w:rsid w:val="0081356F"/>
    <w:rsid w:val="00816F8B"/>
    <w:rsid w:val="00820135"/>
    <w:rsid w:val="0082255B"/>
    <w:rsid w:val="00827C11"/>
    <w:rsid w:val="008337CD"/>
    <w:rsid w:val="008353E0"/>
    <w:rsid w:val="00862A22"/>
    <w:rsid w:val="00863E3E"/>
    <w:rsid w:val="00864AB1"/>
    <w:rsid w:val="00865AB2"/>
    <w:rsid w:val="00880810"/>
    <w:rsid w:val="00880963"/>
    <w:rsid w:val="00880BF5"/>
    <w:rsid w:val="0088349B"/>
    <w:rsid w:val="00885897"/>
    <w:rsid w:val="00886EB1"/>
    <w:rsid w:val="00887589"/>
    <w:rsid w:val="0089309F"/>
    <w:rsid w:val="00893493"/>
    <w:rsid w:val="00896F33"/>
    <w:rsid w:val="008A6785"/>
    <w:rsid w:val="008B32ED"/>
    <w:rsid w:val="008C4026"/>
    <w:rsid w:val="008C4576"/>
    <w:rsid w:val="008C5361"/>
    <w:rsid w:val="008C56D2"/>
    <w:rsid w:val="008D1C67"/>
    <w:rsid w:val="008D435E"/>
    <w:rsid w:val="008D5401"/>
    <w:rsid w:val="008D60FA"/>
    <w:rsid w:val="008D7479"/>
    <w:rsid w:val="008F0DB0"/>
    <w:rsid w:val="008F196D"/>
    <w:rsid w:val="008F629E"/>
    <w:rsid w:val="009041B1"/>
    <w:rsid w:val="00921F4D"/>
    <w:rsid w:val="00922290"/>
    <w:rsid w:val="00925C93"/>
    <w:rsid w:val="0093141D"/>
    <w:rsid w:val="0093217B"/>
    <w:rsid w:val="00943D95"/>
    <w:rsid w:val="0095188E"/>
    <w:rsid w:val="009576DE"/>
    <w:rsid w:val="009713B9"/>
    <w:rsid w:val="00971E7C"/>
    <w:rsid w:val="0097569C"/>
    <w:rsid w:val="00975D2E"/>
    <w:rsid w:val="009909C5"/>
    <w:rsid w:val="00995F80"/>
    <w:rsid w:val="009A1B5B"/>
    <w:rsid w:val="009A4466"/>
    <w:rsid w:val="009B40EA"/>
    <w:rsid w:val="009F0553"/>
    <w:rsid w:val="009F246C"/>
    <w:rsid w:val="009F3A49"/>
    <w:rsid w:val="00A03B57"/>
    <w:rsid w:val="00A05298"/>
    <w:rsid w:val="00A116C3"/>
    <w:rsid w:val="00A16699"/>
    <w:rsid w:val="00A24C78"/>
    <w:rsid w:val="00A25645"/>
    <w:rsid w:val="00A33327"/>
    <w:rsid w:val="00A33399"/>
    <w:rsid w:val="00A52DAE"/>
    <w:rsid w:val="00A53858"/>
    <w:rsid w:val="00A55292"/>
    <w:rsid w:val="00A57188"/>
    <w:rsid w:val="00A65364"/>
    <w:rsid w:val="00A77E47"/>
    <w:rsid w:val="00A802F3"/>
    <w:rsid w:val="00A817CB"/>
    <w:rsid w:val="00A84611"/>
    <w:rsid w:val="00A84F38"/>
    <w:rsid w:val="00A9552B"/>
    <w:rsid w:val="00A96A27"/>
    <w:rsid w:val="00AA3FF5"/>
    <w:rsid w:val="00AA7121"/>
    <w:rsid w:val="00AB3F9F"/>
    <w:rsid w:val="00AB43EF"/>
    <w:rsid w:val="00AB77D6"/>
    <w:rsid w:val="00AC42EA"/>
    <w:rsid w:val="00AC5F2C"/>
    <w:rsid w:val="00AD0D1A"/>
    <w:rsid w:val="00AD19A4"/>
    <w:rsid w:val="00AD1C28"/>
    <w:rsid w:val="00AE7C35"/>
    <w:rsid w:val="00AF1FA1"/>
    <w:rsid w:val="00AF3373"/>
    <w:rsid w:val="00AF5427"/>
    <w:rsid w:val="00B02AD2"/>
    <w:rsid w:val="00B03DA2"/>
    <w:rsid w:val="00B07A5D"/>
    <w:rsid w:val="00B07C3E"/>
    <w:rsid w:val="00B1229F"/>
    <w:rsid w:val="00B14861"/>
    <w:rsid w:val="00B25394"/>
    <w:rsid w:val="00B26C40"/>
    <w:rsid w:val="00B31A2E"/>
    <w:rsid w:val="00B40642"/>
    <w:rsid w:val="00B4680B"/>
    <w:rsid w:val="00B53671"/>
    <w:rsid w:val="00B56812"/>
    <w:rsid w:val="00B649C2"/>
    <w:rsid w:val="00B71CB3"/>
    <w:rsid w:val="00B72DFB"/>
    <w:rsid w:val="00B826D6"/>
    <w:rsid w:val="00B83871"/>
    <w:rsid w:val="00B95EC8"/>
    <w:rsid w:val="00BA7A16"/>
    <w:rsid w:val="00BB043D"/>
    <w:rsid w:val="00BB2F7B"/>
    <w:rsid w:val="00BC17FA"/>
    <w:rsid w:val="00BC4A1C"/>
    <w:rsid w:val="00BD08E0"/>
    <w:rsid w:val="00BD0F1D"/>
    <w:rsid w:val="00BD40B2"/>
    <w:rsid w:val="00BD637D"/>
    <w:rsid w:val="00BD6C93"/>
    <w:rsid w:val="00BD6CFF"/>
    <w:rsid w:val="00BE7268"/>
    <w:rsid w:val="00C00410"/>
    <w:rsid w:val="00C01662"/>
    <w:rsid w:val="00C03E08"/>
    <w:rsid w:val="00C15066"/>
    <w:rsid w:val="00C16AEA"/>
    <w:rsid w:val="00C16FAF"/>
    <w:rsid w:val="00C2073E"/>
    <w:rsid w:val="00C21354"/>
    <w:rsid w:val="00C2233F"/>
    <w:rsid w:val="00C228E9"/>
    <w:rsid w:val="00C233EA"/>
    <w:rsid w:val="00C30183"/>
    <w:rsid w:val="00C42799"/>
    <w:rsid w:val="00C44E23"/>
    <w:rsid w:val="00C502A0"/>
    <w:rsid w:val="00C53148"/>
    <w:rsid w:val="00C6291C"/>
    <w:rsid w:val="00C70F1A"/>
    <w:rsid w:val="00C77BC0"/>
    <w:rsid w:val="00C844BA"/>
    <w:rsid w:val="00C8703B"/>
    <w:rsid w:val="00C90B4D"/>
    <w:rsid w:val="00C9358C"/>
    <w:rsid w:val="00C95342"/>
    <w:rsid w:val="00C9596D"/>
    <w:rsid w:val="00C9722B"/>
    <w:rsid w:val="00C973B3"/>
    <w:rsid w:val="00CA00FF"/>
    <w:rsid w:val="00CA0E8A"/>
    <w:rsid w:val="00CA368E"/>
    <w:rsid w:val="00CA4D94"/>
    <w:rsid w:val="00CA5D8D"/>
    <w:rsid w:val="00CB218A"/>
    <w:rsid w:val="00CB40FA"/>
    <w:rsid w:val="00CB6028"/>
    <w:rsid w:val="00CB792D"/>
    <w:rsid w:val="00CC133C"/>
    <w:rsid w:val="00CD13B9"/>
    <w:rsid w:val="00CD1946"/>
    <w:rsid w:val="00CD437E"/>
    <w:rsid w:val="00CD794A"/>
    <w:rsid w:val="00CE358B"/>
    <w:rsid w:val="00CF332C"/>
    <w:rsid w:val="00CF50FF"/>
    <w:rsid w:val="00CF515B"/>
    <w:rsid w:val="00D0257F"/>
    <w:rsid w:val="00D22D96"/>
    <w:rsid w:val="00D26610"/>
    <w:rsid w:val="00D310A6"/>
    <w:rsid w:val="00D3682A"/>
    <w:rsid w:val="00D36B3A"/>
    <w:rsid w:val="00D40402"/>
    <w:rsid w:val="00D410C4"/>
    <w:rsid w:val="00D50790"/>
    <w:rsid w:val="00D543C2"/>
    <w:rsid w:val="00D566A5"/>
    <w:rsid w:val="00D56F1B"/>
    <w:rsid w:val="00D640F3"/>
    <w:rsid w:val="00D666A2"/>
    <w:rsid w:val="00D75CD2"/>
    <w:rsid w:val="00D90548"/>
    <w:rsid w:val="00D90590"/>
    <w:rsid w:val="00D91E20"/>
    <w:rsid w:val="00D93AAC"/>
    <w:rsid w:val="00DA2D91"/>
    <w:rsid w:val="00DA31F5"/>
    <w:rsid w:val="00DA4EC5"/>
    <w:rsid w:val="00DB0F76"/>
    <w:rsid w:val="00DB48B1"/>
    <w:rsid w:val="00DB56C2"/>
    <w:rsid w:val="00DB7051"/>
    <w:rsid w:val="00DB7F63"/>
    <w:rsid w:val="00DC1290"/>
    <w:rsid w:val="00DD49F6"/>
    <w:rsid w:val="00DE055F"/>
    <w:rsid w:val="00DE0D63"/>
    <w:rsid w:val="00DE20F3"/>
    <w:rsid w:val="00DE2A23"/>
    <w:rsid w:val="00DF4089"/>
    <w:rsid w:val="00E021FB"/>
    <w:rsid w:val="00E0295D"/>
    <w:rsid w:val="00E033CC"/>
    <w:rsid w:val="00E038D0"/>
    <w:rsid w:val="00E04C93"/>
    <w:rsid w:val="00E065EA"/>
    <w:rsid w:val="00E0760D"/>
    <w:rsid w:val="00E12188"/>
    <w:rsid w:val="00E13A3F"/>
    <w:rsid w:val="00E1532B"/>
    <w:rsid w:val="00E41AC9"/>
    <w:rsid w:val="00E425F8"/>
    <w:rsid w:val="00E47B53"/>
    <w:rsid w:val="00E5531C"/>
    <w:rsid w:val="00E62DBE"/>
    <w:rsid w:val="00E72C28"/>
    <w:rsid w:val="00E75274"/>
    <w:rsid w:val="00E83D40"/>
    <w:rsid w:val="00E84319"/>
    <w:rsid w:val="00E91343"/>
    <w:rsid w:val="00E9144A"/>
    <w:rsid w:val="00E91F18"/>
    <w:rsid w:val="00E93136"/>
    <w:rsid w:val="00E96F16"/>
    <w:rsid w:val="00EA6AC4"/>
    <w:rsid w:val="00EA6E50"/>
    <w:rsid w:val="00EB2392"/>
    <w:rsid w:val="00EB6108"/>
    <w:rsid w:val="00EB6EDD"/>
    <w:rsid w:val="00EB728B"/>
    <w:rsid w:val="00EB748C"/>
    <w:rsid w:val="00EC250E"/>
    <w:rsid w:val="00ED5850"/>
    <w:rsid w:val="00ED797C"/>
    <w:rsid w:val="00EE509E"/>
    <w:rsid w:val="00EE5F11"/>
    <w:rsid w:val="00EF0254"/>
    <w:rsid w:val="00EF159B"/>
    <w:rsid w:val="00EF2CFF"/>
    <w:rsid w:val="00F04805"/>
    <w:rsid w:val="00F05E6F"/>
    <w:rsid w:val="00F13205"/>
    <w:rsid w:val="00F20187"/>
    <w:rsid w:val="00F23540"/>
    <w:rsid w:val="00F246BC"/>
    <w:rsid w:val="00F2564D"/>
    <w:rsid w:val="00F26E13"/>
    <w:rsid w:val="00F40025"/>
    <w:rsid w:val="00F41D06"/>
    <w:rsid w:val="00F431EA"/>
    <w:rsid w:val="00F45A6E"/>
    <w:rsid w:val="00F502B3"/>
    <w:rsid w:val="00F621AD"/>
    <w:rsid w:val="00F71CBA"/>
    <w:rsid w:val="00F741F7"/>
    <w:rsid w:val="00F753B4"/>
    <w:rsid w:val="00F75796"/>
    <w:rsid w:val="00F77CA1"/>
    <w:rsid w:val="00F9078B"/>
    <w:rsid w:val="00F90D8F"/>
    <w:rsid w:val="00F9323E"/>
    <w:rsid w:val="00FA3CC7"/>
    <w:rsid w:val="00FB1DB5"/>
    <w:rsid w:val="00FB3BCC"/>
    <w:rsid w:val="00FB6246"/>
    <w:rsid w:val="00FD2762"/>
    <w:rsid w:val="00FE3EC6"/>
    <w:rsid w:val="00FE407B"/>
    <w:rsid w:val="00FE500D"/>
    <w:rsid w:val="00FF4F92"/>
    <w:rsid w:val="00FF5C46"/>
    <w:rsid w:val="00FF65A2"/>
    <w:rsid w:val="00FF7376"/>
    <w:rsid w:val="013D0103"/>
    <w:rsid w:val="02666819"/>
    <w:rsid w:val="02E00504"/>
    <w:rsid w:val="02F50B7B"/>
    <w:rsid w:val="037C6F23"/>
    <w:rsid w:val="038B7249"/>
    <w:rsid w:val="038E716C"/>
    <w:rsid w:val="03900CB7"/>
    <w:rsid w:val="03986948"/>
    <w:rsid w:val="03E56356"/>
    <w:rsid w:val="042B3077"/>
    <w:rsid w:val="04960315"/>
    <w:rsid w:val="061B4462"/>
    <w:rsid w:val="065F11B6"/>
    <w:rsid w:val="06770C6B"/>
    <w:rsid w:val="08B34DF0"/>
    <w:rsid w:val="09BD03C5"/>
    <w:rsid w:val="0A1C61E7"/>
    <w:rsid w:val="0B205A16"/>
    <w:rsid w:val="0B440386"/>
    <w:rsid w:val="0BCA71F7"/>
    <w:rsid w:val="0C3F1D4B"/>
    <w:rsid w:val="0C6C7324"/>
    <w:rsid w:val="0CCE5DA1"/>
    <w:rsid w:val="0CD9634F"/>
    <w:rsid w:val="0DC521A2"/>
    <w:rsid w:val="0E68439D"/>
    <w:rsid w:val="0ECA7428"/>
    <w:rsid w:val="0F696140"/>
    <w:rsid w:val="0F7A59F7"/>
    <w:rsid w:val="0FC841E2"/>
    <w:rsid w:val="10090976"/>
    <w:rsid w:val="108A5735"/>
    <w:rsid w:val="10905125"/>
    <w:rsid w:val="10B371B1"/>
    <w:rsid w:val="11F7450D"/>
    <w:rsid w:val="148B1A01"/>
    <w:rsid w:val="14CB2BD5"/>
    <w:rsid w:val="15071BD4"/>
    <w:rsid w:val="151559A7"/>
    <w:rsid w:val="165171DE"/>
    <w:rsid w:val="16635DC1"/>
    <w:rsid w:val="16781A92"/>
    <w:rsid w:val="16FB1711"/>
    <w:rsid w:val="199E56C6"/>
    <w:rsid w:val="1A2D60A4"/>
    <w:rsid w:val="1A2F1259"/>
    <w:rsid w:val="1AAA7010"/>
    <w:rsid w:val="1AC56CB5"/>
    <w:rsid w:val="1ACB619A"/>
    <w:rsid w:val="1C105F0A"/>
    <w:rsid w:val="1C3B7B98"/>
    <w:rsid w:val="1C3D302F"/>
    <w:rsid w:val="1C492B73"/>
    <w:rsid w:val="1C597A78"/>
    <w:rsid w:val="1CF0379E"/>
    <w:rsid w:val="1E536B86"/>
    <w:rsid w:val="1E8A711F"/>
    <w:rsid w:val="1F135C03"/>
    <w:rsid w:val="1F57298F"/>
    <w:rsid w:val="20EB435B"/>
    <w:rsid w:val="20F619E7"/>
    <w:rsid w:val="2132685E"/>
    <w:rsid w:val="22556B96"/>
    <w:rsid w:val="226F7E95"/>
    <w:rsid w:val="22D01A8B"/>
    <w:rsid w:val="234611FA"/>
    <w:rsid w:val="23F42579"/>
    <w:rsid w:val="24E73A74"/>
    <w:rsid w:val="2528335F"/>
    <w:rsid w:val="25543C57"/>
    <w:rsid w:val="25E30F72"/>
    <w:rsid w:val="25F31564"/>
    <w:rsid w:val="25FE7D97"/>
    <w:rsid w:val="26CE2051"/>
    <w:rsid w:val="26F05012"/>
    <w:rsid w:val="272F6DB1"/>
    <w:rsid w:val="27F40F6B"/>
    <w:rsid w:val="28385336"/>
    <w:rsid w:val="283B5293"/>
    <w:rsid w:val="28486819"/>
    <w:rsid w:val="28A50EE7"/>
    <w:rsid w:val="293C60CF"/>
    <w:rsid w:val="296F0736"/>
    <w:rsid w:val="2A1F66C9"/>
    <w:rsid w:val="2A53130B"/>
    <w:rsid w:val="2A857E84"/>
    <w:rsid w:val="2B2D5106"/>
    <w:rsid w:val="2BAC1DE6"/>
    <w:rsid w:val="2BF121DB"/>
    <w:rsid w:val="2C8E753F"/>
    <w:rsid w:val="2CB83F6B"/>
    <w:rsid w:val="2CCA1BCC"/>
    <w:rsid w:val="2D490796"/>
    <w:rsid w:val="2F7F27D1"/>
    <w:rsid w:val="30851C27"/>
    <w:rsid w:val="30982D02"/>
    <w:rsid w:val="30E65F11"/>
    <w:rsid w:val="3106006E"/>
    <w:rsid w:val="31DD22F8"/>
    <w:rsid w:val="32211881"/>
    <w:rsid w:val="3278733A"/>
    <w:rsid w:val="32B47607"/>
    <w:rsid w:val="32E1497D"/>
    <w:rsid w:val="336A1F32"/>
    <w:rsid w:val="33A77F45"/>
    <w:rsid w:val="342D4338"/>
    <w:rsid w:val="34873F83"/>
    <w:rsid w:val="349F0EB6"/>
    <w:rsid w:val="36710786"/>
    <w:rsid w:val="368E05BA"/>
    <w:rsid w:val="369D3A85"/>
    <w:rsid w:val="36C775AA"/>
    <w:rsid w:val="36E43E1A"/>
    <w:rsid w:val="374A55A1"/>
    <w:rsid w:val="38DD22E0"/>
    <w:rsid w:val="395A4567"/>
    <w:rsid w:val="3AC7741C"/>
    <w:rsid w:val="3B357AAD"/>
    <w:rsid w:val="3CB440C1"/>
    <w:rsid w:val="3CF41146"/>
    <w:rsid w:val="3D337C88"/>
    <w:rsid w:val="3D404F45"/>
    <w:rsid w:val="3D5B1B51"/>
    <w:rsid w:val="3DCB4619"/>
    <w:rsid w:val="3DF207C7"/>
    <w:rsid w:val="3E325C20"/>
    <w:rsid w:val="3ECB0D51"/>
    <w:rsid w:val="3FB325F3"/>
    <w:rsid w:val="3FE705B4"/>
    <w:rsid w:val="3FF64B52"/>
    <w:rsid w:val="40072371"/>
    <w:rsid w:val="403F2836"/>
    <w:rsid w:val="4074223B"/>
    <w:rsid w:val="41145ADA"/>
    <w:rsid w:val="415A35C5"/>
    <w:rsid w:val="42BD7D51"/>
    <w:rsid w:val="43760C7A"/>
    <w:rsid w:val="44D30DC8"/>
    <w:rsid w:val="450F4D48"/>
    <w:rsid w:val="45493DFA"/>
    <w:rsid w:val="46AD2CC9"/>
    <w:rsid w:val="46AE17E5"/>
    <w:rsid w:val="46C957D2"/>
    <w:rsid w:val="46EE29A9"/>
    <w:rsid w:val="474057BF"/>
    <w:rsid w:val="480A3595"/>
    <w:rsid w:val="48C35DB6"/>
    <w:rsid w:val="4995512F"/>
    <w:rsid w:val="49DD791F"/>
    <w:rsid w:val="4A024CA6"/>
    <w:rsid w:val="4AE23258"/>
    <w:rsid w:val="4B777755"/>
    <w:rsid w:val="4B8D743C"/>
    <w:rsid w:val="4BCC60FD"/>
    <w:rsid w:val="4C115986"/>
    <w:rsid w:val="4D145B84"/>
    <w:rsid w:val="4D703601"/>
    <w:rsid w:val="4DD240C3"/>
    <w:rsid w:val="4DD35F85"/>
    <w:rsid w:val="4F1D2E35"/>
    <w:rsid w:val="4F4246BC"/>
    <w:rsid w:val="4F472929"/>
    <w:rsid w:val="50215EB9"/>
    <w:rsid w:val="50602421"/>
    <w:rsid w:val="50940C4C"/>
    <w:rsid w:val="50E87D59"/>
    <w:rsid w:val="50F55926"/>
    <w:rsid w:val="513208CD"/>
    <w:rsid w:val="519B4953"/>
    <w:rsid w:val="51DC5D10"/>
    <w:rsid w:val="52062B7D"/>
    <w:rsid w:val="521416A3"/>
    <w:rsid w:val="52180023"/>
    <w:rsid w:val="52672940"/>
    <w:rsid w:val="5343002C"/>
    <w:rsid w:val="537043E0"/>
    <w:rsid w:val="537E722E"/>
    <w:rsid w:val="540F3562"/>
    <w:rsid w:val="54592183"/>
    <w:rsid w:val="545B3AC7"/>
    <w:rsid w:val="556E2FB1"/>
    <w:rsid w:val="56D22F8C"/>
    <w:rsid w:val="57224033"/>
    <w:rsid w:val="573003D4"/>
    <w:rsid w:val="57891103"/>
    <w:rsid w:val="57C761B0"/>
    <w:rsid w:val="584C4D19"/>
    <w:rsid w:val="5A737087"/>
    <w:rsid w:val="5A9D5EAD"/>
    <w:rsid w:val="5B172055"/>
    <w:rsid w:val="5D193A39"/>
    <w:rsid w:val="5DB268FC"/>
    <w:rsid w:val="5DDE2D80"/>
    <w:rsid w:val="5EE9462E"/>
    <w:rsid w:val="5F6235CF"/>
    <w:rsid w:val="5FF016A1"/>
    <w:rsid w:val="60540CCE"/>
    <w:rsid w:val="640D49B9"/>
    <w:rsid w:val="641B1BAF"/>
    <w:rsid w:val="65325D59"/>
    <w:rsid w:val="65C5778D"/>
    <w:rsid w:val="65E139D9"/>
    <w:rsid w:val="663F79F7"/>
    <w:rsid w:val="669F5183"/>
    <w:rsid w:val="67161D58"/>
    <w:rsid w:val="672E086A"/>
    <w:rsid w:val="686F25E9"/>
    <w:rsid w:val="69406B82"/>
    <w:rsid w:val="69554FE5"/>
    <w:rsid w:val="69840C09"/>
    <w:rsid w:val="6A4467FC"/>
    <w:rsid w:val="6DC87C15"/>
    <w:rsid w:val="6E2149D1"/>
    <w:rsid w:val="6EFC4A92"/>
    <w:rsid w:val="6F4D4C6E"/>
    <w:rsid w:val="707F56C1"/>
    <w:rsid w:val="708222AA"/>
    <w:rsid w:val="708A15C7"/>
    <w:rsid w:val="70984C16"/>
    <w:rsid w:val="70E82D07"/>
    <w:rsid w:val="71412337"/>
    <w:rsid w:val="71CC481D"/>
    <w:rsid w:val="73865D9A"/>
    <w:rsid w:val="7494032F"/>
    <w:rsid w:val="75843FE6"/>
    <w:rsid w:val="75E026E0"/>
    <w:rsid w:val="778624E0"/>
    <w:rsid w:val="77C60397"/>
    <w:rsid w:val="77FD78E1"/>
    <w:rsid w:val="78EF358E"/>
    <w:rsid w:val="79152E8C"/>
    <w:rsid w:val="79BC49BC"/>
    <w:rsid w:val="7A8C7804"/>
    <w:rsid w:val="7B166265"/>
    <w:rsid w:val="7B2206A4"/>
    <w:rsid w:val="7B597982"/>
    <w:rsid w:val="7BB66C70"/>
    <w:rsid w:val="7BBC13E0"/>
    <w:rsid w:val="7CBA2EB4"/>
    <w:rsid w:val="7D536837"/>
    <w:rsid w:val="7E3F0A4F"/>
    <w:rsid w:val="7E6B0C8A"/>
    <w:rsid w:val="7EA20E8D"/>
    <w:rsid w:val="7F171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宋体" w:eastAsia="仿宋_GB2312" w:cstheme="minorBidi"/>
      <w:kern w:val="2"/>
      <w:sz w:val="32"/>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9">
    <w:name w:val="Default Paragraph Font"/>
    <w:autoRedefine/>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3"/>
    <w:autoRedefine/>
    <w:unhideWhenUsed/>
    <w:qFormat/>
    <w:uiPriority w:val="99"/>
    <w:rPr>
      <w:sz w:val="18"/>
      <w:szCs w:val="18"/>
    </w:rPr>
  </w:style>
  <w:style w:type="paragraph" w:styleId="4">
    <w:name w:val="footer"/>
    <w:basedOn w:val="1"/>
    <w:link w:val="22"/>
    <w:autoRedefine/>
    <w:unhideWhenUsed/>
    <w:qFormat/>
    <w:uiPriority w:val="99"/>
    <w:pPr>
      <w:tabs>
        <w:tab w:val="center" w:pos="4153"/>
        <w:tab w:val="right" w:pos="8306"/>
      </w:tabs>
      <w:snapToGrid w:val="0"/>
      <w:jc w:val="left"/>
    </w:pPr>
    <w:rPr>
      <w:sz w:val="18"/>
      <w:szCs w:val="18"/>
    </w:rPr>
  </w:style>
  <w:style w:type="paragraph" w:styleId="5">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jc w:val="left"/>
    </w:pPr>
    <w:rPr>
      <w:rFonts w:cs="Times New Roman"/>
      <w:kern w:val="0"/>
      <w:sz w:val="24"/>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style>
  <w:style w:type="character" w:styleId="11">
    <w:name w:val="FollowedHyperlink"/>
    <w:basedOn w:val="9"/>
    <w:autoRedefine/>
    <w:semiHidden/>
    <w:unhideWhenUsed/>
    <w:qFormat/>
    <w:uiPriority w:val="99"/>
    <w:rPr>
      <w:color w:val="000000"/>
      <w:u w:val="none"/>
    </w:rPr>
  </w:style>
  <w:style w:type="character" w:styleId="12">
    <w:name w:val="Emphasis"/>
    <w:basedOn w:val="9"/>
    <w:autoRedefine/>
    <w:qFormat/>
    <w:uiPriority w:val="20"/>
  </w:style>
  <w:style w:type="character" w:styleId="13">
    <w:name w:val="HTML Definition"/>
    <w:basedOn w:val="9"/>
    <w:autoRedefine/>
    <w:semiHidden/>
    <w:unhideWhenUsed/>
    <w:qFormat/>
    <w:uiPriority w:val="99"/>
  </w:style>
  <w:style w:type="character" w:styleId="14">
    <w:name w:val="HTML Acronym"/>
    <w:basedOn w:val="9"/>
    <w:autoRedefine/>
    <w:semiHidden/>
    <w:unhideWhenUsed/>
    <w:qFormat/>
    <w:uiPriority w:val="99"/>
  </w:style>
  <w:style w:type="character" w:styleId="15">
    <w:name w:val="HTML Variable"/>
    <w:basedOn w:val="9"/>
    <w:autoRedefine/>
    <w:semiHidden/>
    <w:unhideWhenUsed/>
    <w:qFormat/>
    <w:uiPriority w:val="99"/>
  </w:style>
  <w:style w:type="character" w:styleId="16">
    <w:name w:val="Hyperlink"/>
    <w:basedOn w:val="9"/>
    <w:autoRedefine/>
    <w:semiHidden/>
    <w:unhideWhenUsed/>
    <w:qFormat/>
    <w:uiPriority w:val="99"/>
    <w:rPr>
      <w:color w:val="000000"/>
      <w:u w:val="none"/>
    </w:rPr>
  </w:style>
  <w:style w:type="character" w:styleId="17">
    <w:name w:val="HTML Code"/>
    <w:basedOn w:val="9"/>
    <w:autoRedefine/>
    <w:semiHidden/>
    <w:unhideWhenUsed/>
    <w:qFormat/>
    <w:uiPriority w:val="99"/>
    <w:rPr>
      <w:rFonts w:ascii="serif" w:hAnsi="serif" w:eastAsia="serif" w:cs="serif"/>
      <w:sz w:val="21"/>
      <w:szCs w:val="21"/>
    </w:rPr>
  </w:style>
  <w:style w:type="character" w:styleId="18">
    <w:name w:val="HTML Cite"/>
    <w:basedOn w:val="9"/>
    <w:autoRedefine/>
    <w:semiHidden/>
    <w:unhideWhenUsed/>
    <w:qFormat/>
    <w:uiPriority w:val="99"/>
    <w:rPr>
      <w:color w:val="008000"/>
    </w:rPr>
  </w:style>
  <w:style w:type="character" w:styleId="19">
    <w:name w:val="HTML Keyboard"/>
    <w:basedOn w:val="9"/>
    <w:autoRedefine/>
    <w:semiHidden/>
    <w:unhideWhenUsed/>
    <w:qFormat/>
    <w:uiPriority w:val="99"/>
    <w:rPr>
      <w:rFonts w:ascii="Courier New" w:hAnsi="Courier New"/>
      <w:sz w:val="21"/>
      <w:szCs w:val="21"/>
    </w:rPr>
  </w:style>
  <w:style w:type="character" w:styleId="20">
    <w:name w:val="HTML Sample"/>
    <w:basedOn w:val="9"/>
    <w:autoRedefine/>
    <w:semiHidden/>
    <w:unhideWhenUsed/>
    <w:qFormat/>
    <w:uiPriority w:val="99"/>
    <w:rPr>
      <w:rFonts w:ascii="Courier New" w:hAnsi="Courier New"/>
      <w:sz w:val="21"/>
      <w:szCs w:val="21"/>
    </w:rPr>
  </w:style>
  <w:style w:type="character" w:customStyle="1" w:styleId="21">
    <w:name w:val="页眉 Char"/>
    <w:basedOn w:val="9"/>
    <w:link w:val="5"/>
    <w:autoRedefine/>
    <w:qFormat/>
    <w:uiPriority w:val="99"/>
    <w:rPr>
      <w:rFonts w:ascii="仿宋" w:eastAsia="仿宋"/>
      <w:sz w:val="18"/>
      <w:szCs w:val="18"/>
    </w:rPr>
  </w:style>
  <w:style w:type="character" w:customStyle="1" w:styleId="22">
    <w:name w:val="页脚 Char"/>
    <w:basedOn w:val="9"/>
    <w:link w:val="4"/>
    <w:autoRedefine/>
    <w:qFormat/>
    <w:uiPriority w:val="99"/>
    <w:rPr>
      <w:rFonts w:ascii="仿宋" w:eastAsia="仿宋"/>
      <w:sz w:val="18"/>
      <w:szCs w:val="18"/>
    </w:rPr>
  </w:style>
  <w:style w:type="character" w:customStyle="1" w:styleId="23">
    <w:name w:val="批注框文本 Char"/>
    <w:basedOn w:val="9"/>
    <w:link w:val="3"/>
    <w:autoRedefine/>
    <w:semiHidden/>
    <w:qFormat/>
    <w:uiPriority w:val="99"/>
    <w:rPr>
      <w:rFonts w:ascii="仿宋" w:eastAsia="仿宋"/>
      <w:sz w:val="18"/>
      <w:szCs w:val="18"/>
    </w:rPr>
  </w:style>
  <w:style w:type="character" w:customStyle="1" w:styleId="24">
    <w:name w:val="one"/>
    <w:basedOn w:val="9"/>
    <w:autoRedefine/>
    <w:qFormat/>
    <w:uiPriority w:val="0"/>
    <w:rPr>
      <w:color w:val="003366"/>
    </w:rPr>
  </w:style>
  <w:style w:type="character" w:customStyle="1" w:styleId="25">
    <w:name w:val="icon_video"/>
    <w:basedOn w:val="9"/>
    <w:autoRedefine/>
    <w:qFormat/>
    <w:uiPriority w:val="0"/>
  </w:style>
  <w:style w:type="character" w:customStyle="1" w:styleId="26">
    <w:name w:val="c-icon13"/>
    <w:basedOn w:val="9"/>
    <w:autoRedefine/>
    <w:qFormat/>
    <w:uiPriority w:val="0"/>
  </w:style>
  <w:style w:type="character" w:customStyle="1" w:styleId="27">
    <w:name w:val="hover8"/>
    <w:basedOn w:val="9"/>
    <w:autoRedefine/>
    <w:qFormat/>
    <w:uiPriority w:val="0"/>
    <w:rPr>
      <w:color w:val="000000"/>
      <w:shd w:val="clear" w:color="auto" w:fill="FFFFFF"/>
    </w:rPr>
  </w:style>
  <w:style w:type="character" w:customStyle="1" w:styleId="28">
    <w:name w:val="after1"/>
    <w:basedOn w:val="9"/>
    <w:autoRedefine/>
    <w:qFormat/>
    <w:uiPriority w:val="0"/>
    <w:rPr>
      <w:color w:val="AAAAAA"/>
    </w:rPr>
  </w:style>
  <w:style w:type="character" w:customStyle="1" w:styleId="29">
    <w:name w:val="bsharetext"/>
    <w:basedOn w:val="9"/>
    <w:autoRedefine/>
    <w:qFormat/>
    <w:uiPriority w:val="0"/>
  </w:style>
  <w:style w:type="character" w:customStyle="1" w:styleId="30">
    <w:name w:val="hover12"/>
    <w:basedOn w:val="9"/>
    <w:autoRedefine/>
    <w:qFormat/>
    <w:uiPriority w:val="0"/>
    <w:rPr>
      <w:shd w:val="clear" w:color="auto" w:fill="3AC159"/>
    </w:rPr>
  </w:style>
  <w:style w:type="character" w:customStyle="1" w:styleId="31">
    <w:name w:val="hover13"/>
    <w:basedOn w:val="9"/>
    <w:autoRedefine/>
    <w:qFormat/>
    <w:uiPriority w:val="0"/>
    <w:rPr>
      <w:shd w:val="clear" w:color="auto" w:fill="0596E9"/>
    </w:rPr>
  </w:style>
  <w:style w:type="character" w:customStyle="1" w:styleId="32">
    <w:name w:val="hover14"/>
    <w:basedOn w:val="9"/>
    <w:autoRedefine/>
    <w:qFormat/>
    <w:uiPriority w:val="0"/>
    <w:rPr>
      <w:shd w:val="clear" w:color="auto" w:fill="0596E9"/>
    </w:rPr>
  </w:style>
  <w:style w:type="character" w:customStyle="1" w:styleId="33">
    <w:name w:val="hover15"/>
    <w:basedOn w:val="9"/>
    <w:autoRedefine/>
    <w:qFormat/>
    <w:uiPriority w:val="0"/>
    <w:rPr>
      <w:shd w:val="clear" w:color="auto" w:fill="E6E6E6"/>
    </w:rPr>
  </w:style>
  <w:style w:type="character" w:customStyle="1" w:styleId="34">
    <w:name w:val="hover16"/>
    <w:basedOn w:val="9"/>
    <w:autoRedefine/>
    <w:qFormat/>
    <w:uiPriority w:val="0"/>
    <w:rPr>
      <w:shd w:val="clear" w:color="auto" w:fill="E6E6E6"/>
    </w:rPr>
  </w:style>
  <w:style w:type="character" w:customStyle="1" w:styleId="35">
    <w:name w:val="hover17"/>
    <w:basedOn w:val="9"/>
    <w:autoRedefine/>
    <w:qFormat/>
    <w:uiPriority w:val="0"/>
    <w:rPr>
      <w:shd w:val="clear" w:color="auto" w:fill="E6E6E6"/>
    </w:rPr>
  </w:style>
  <w:style w:type="character" w:customStyle="1" w:styleId="36">
    <w:name w:val="hover18"/>
    <w:basedOn w:val="9"/>
    <w:autoRedefine/>
    <w:qFormat/>
    <w:uiPriority w:val="0"/>
    <w:rPr>
      <w:shd w:val="clear" w:color="auto" w:fill="0596E9"/>
    </w:rPr>
  </w:style>
  <w:style w:type="character" w:customStyle="1" w:styleId="37">
    <w:name w:val="hover19"/>
    <w:basedOn w:val="9"/>
    <w:autoRedefine/>
    <w:qFormat/>
    <w:uiPriority w:val="0"/>
    <w:rPr>
      <w:shd w:val="clear" w:color="auto" w:fill="E6E6E6"/>
    </w:rPr>
  </w:style>
  <w:style w:type="character" w:customStyle="1" w:styleId="38">
    <w:name w:val="hover20"/>
    <w:basedOn w:val="9"/>
    <w:autoRedefine/>
    <w:qFormat/>
    <w:uiPriority w:val="0"/>
    <w:rPr>
      <w:shd w:val="clear" w:color="auto" w:fill="E6E6E6"/>
    </w:rPr>
  </w:style>
  <w:style w:type="character" w:customStyle="1" w:styleId="39">
    <w:name w:val="hover21"/>
    <w:basedOn w:val="9"/>
    <w:autoRedefine/>
    <w:qFormat/>
    <w:uiPriority w:val="0"/>
    <w:rPr>
      <w:shd w:val="clear" w:color="auto" w:fill="E6E6E6"/>
    </w:rPr>
  </w:style>
  <w:style w:type="character" w:customStyle="1" w:styleId="40">
    <w:name w:val="fx_email2"/>
    <w:basedOn w:val="9"/>
    <w:autoRedefine/>
    <w:qFormat/>
    <w:uiPriority w:val="0"/>
  </w:style>
  <w:style w:type="character" w:customStyle="1" w:styleId="41">
    <w:name w:val="focus"/>
    <w:basedOn w:val="9"/>
    <w:autoRedefine/>
    <w:qFormat/>
    <w:uiPriority w:val="0"/>
    <w:rPr>
      <w:color w:val="3B7C90"/>
    </w:rPr>
  </w:style>
  <w:style w:type="character" w:customStyle="1" w:styleId="42">
    <w:name w:val="active"/>
    <w:basedOn w:val="9"/>
    <w:autoRedefine/>
    <w:qFormat/>
    <w:uiPriority w:val="0"/>
    <w:rPr>
      <w:color w:val="FFFFFF"/>
      <w:bdr w:val="single" w:color="2A6AB7" w:sz="6" w:space="0"/>
      <w:shd w:val="clear" w:color="auto" w:fill="2D7FDD"/>
    </w:rPr>
  </w:style>
  <w:style w:type="character" w:customStyle="1" w:styleId="43">
    <w:name w:val="active1"/>
    <w:basedOn w:val="9"/>
    <w:autoRedefine/>
    <w:qFormat/>
    <w:uiPriority w:val="0"/>
    <w:rPr>
      <w:color w:val="FFFFFF"/>
      <w:bdr w:val="single" w:color="2A6AB7" w:sz="6" w:space="0"/>
      <w:shd w:val="clear" w:color="auto" w:fill="2D7FDD"/>
    </w:rPr>
  </w:style>
  <w:style w:type="character" w:customStyle="1" w:styleId="44">
    <w:name w:val="active2"/>
    <w:basedOn w:val="9"/>
    <w:autoRedefine/>
    <w:qFormat/>
    <w:uiPriority w:val="0"/>
    <w:rPr>
      <w:color w:val="FFFFFF"/>
      <w:bdr w:val="single" w:color="007FCE" w:sz="6" w:space="0"/>
      <w:shd w:val="clear" w:color="auto" w:fill="007FCE"/>
    </w:rPr>
  </w:style>
  <w:style w:type="character" w:customStyle="1" w:styleId="45">
    <w:name w:val="active3"/>
    <w:basedOn w:val="9"/>
    <w:qFormat/>
    <w:uiPriority w:val="0"/>
    <w:rPr>
      <w:color w:val="FFFFFF"/>
      <w:bdr w:val="single" w:color="2A6AB7" w:sz="6" w:space="0"/>
      <w:shd w:val="clear" w:color="auto" w:fill="2D7FDD"/>
    </w:rPr>
  </w:style>
  <w:style w:type="character" w:customStyle="1" w:styleId="46">
    <w:name w:val="active4"/>
    <w:basedOn w:val="9"/>
    <w:qFormat/>
    <w:uiPriority w:val="0"/>
    <w:rPr>
      <w:color w:val="FFFFFF"/>
      <w:bdr w:val="single" w:color="D2D2D2" w:sz="6" w:space="0"/>
      <w:shd w:val="clear" w:color="auto" w:fill="41B65C"/>
    </w:rPr>
  </w:style>
  <w:style w:type="character" w:customStyle="1" w:styleId="47">
    <w:name w:val="ft_replay"/>
    <w:basedOn w:val="9"/>
    <w:autoRedefine/>
    <w:qFormat/>
    <w:uiPriority w:val="0"/>
    <w:rPr>
      <w:color w:val="999999"/>
      <w:sz w:val="18"/>
      <w:szCs w:val="18"/>
    </w:rPr>
  </w:style>
  <w:style w:type="character" w:customStyle="1" w:styleId="48">
    <w:name w:val="close_erweima"/>
    <w:basedOn w:val="9"/>
    <w:qFormat/>
    <w:uiPriority w:val="0"/>
  </w:style>
  <w:style w:type="character" w:customStyle="1" w:styleId="49">
    <w:name w:val="close_erweima1"/>
    <w:basedOn w:val="9"/>
    <w:autoRedefine/>
    <w:qFormat/>
    <w:uiPriority w:val="0"/>
  </w:style>
  <w:style w:type="character" w:customStyle="1" w:styleId="50">
    <w:name w:val="close_erweima2"/>
    <w:basedOn w:val="9"/>
    <w:autoRedefine/>
    <w:qFormat/>
    <w:uiPriority w:val="0"/>
  </w:style>
  <w:style w:type="character" w:customStyle="1" w:styleId="51">
    <w:name w:val="button2"/>
    <w:basedOn w:val="9"/>
    <w:autoRedefine/>
    <w:qFormat/>
    <w:uiPriority w:val="0"/>
  </w:style>
  <w:style w:type="character" w:customStyle="1" w:styleId="52">
    <w:name w:val="b0"/>
    <w:basedOn w:val="9"/>
    <w:autoRedefine/>
    <w:qFormat/>
    <w:uiPriority w:val="0"/>
  </w:style>
  <w:style w:type="character" w:customStyle="1" w:styleId="53">
    <w:name w:val="button"/>
    <w:basedOn w:val="9"/>
    <w:autoRedefine/>
    <w:qFormat/>
    <w:uiPriority w:val="0"/>
  </w:style>
  <w:style w:type="character" w:customStyle="1" w:styleId="54">
    <w:name w:val="fx_email"/>
    <w:basedOn w:val="9"/>
    <w:autoRedefine/>
    <w:qFormat/>
    <w:uiPriority w:val="0"/>
  </w:style>
  <w:style w:type="paragraph" w:styleId="55">
    <w:name w:val="List Paragraph"/>
    <w:basedOn w:val="1"/>
    <w:autoRedefine/>
    <w:unhideWhenUsed/>
    <w:qFormat/>
    <w:uiPriority w:val="34"/>
    <w:pPr>
      <w:ind w:firstLine="420" w:firstLineChars="200"/>
    </w:pPr>
  </w:style>
  <w:style w:type="character" w:customStyle="1" w:styleId="56">
    <w:name w:val="hover73"/>
    <w:basedOn w:val="9"/>
    <w:autoRedefine/>
    <w:qFormat/>
    <w:uiPriority w:val="0"/>
  </w:style>
  <w:style w:type="character" w:customStyle="1" w:styleId="57">
    <w:name w:val="hover74"/>
    <w:basedOn w:val="9"/>
    <w:autoRedefine/>
    <w:qFormat/>
    <w:uiPriority w:val="0"/>
  </w:style>
  <w:style w:type="character" w:customStyle="1" w:styleId="58">
    <w:name w:val="pipe"/>
    <w:basedOn w:val="9"/>
    <w:autoRedefine/>
    <w:qFormat/>
    <w:uiPriority w:val="0"/>
  </w:style>
  <w:style w:type="character" w:customStyle="1" w:styleId="59">
    <w:name w:val="fontstrikethrough"/>
    <w:basedOn w:val="9"/>
    <w:autoRedefine/>
    <w:qFormat/>
    <w:uiPriority w:val="0"/>
    <w:rPr>
      <w:strike/>
    </w:rPr>
  </w:style>
  <w:style w:type="character" w:customStyle="1" w:styleId="60">
    <w:name w:val="fontborder"/>
    <w:basedOn w:val="9"/>
    <w:autoRedefine/>
    <w:qFormat/>
    <w:uiPriority w:val="0"/>
    <w:rPr>
      <w:bdr w:val="single" w:color="000000" w:sz="6"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lmsc\AppData\Roaming\Microsoft\Templates\201509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B9321E-3EF3-4FF9-9E61-C04D98A08982}">
  <ds:schemaRefs/>
</ds:datastoreItem>
</file>

<file path=docProps/app.xml><?xml version="1.0" encoding="utf-8"?>
<Properties xmlns="http://schemas.openxmlformats.org/officeDocument/2006/extended-properties" xmlns:vt="http://schemas.openxmlformats.org/officeDocument/2006/docPropsVTypes">
  <Template>20150921.dotx</Template>
  <Company>Lenovo</Company>
  <Pages>10</Pages>
  <Words>781</Words>
  <Characters>4454</Characters>
  <Lines>37</Lines>
  <Paragraphs>10</Paragraphs>
  <TotalTime>0</TotalTime>
  <ScaleCrop>false</ScaleCrop>
  <LinksUpToDate>false</LinksUpToDate>
  <CharactersWithSpaces>5225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2018-11-22T12:29:00Z</dcterms:created>
  <dc:creator>qlmsc</dc:creator>
  <cp:lastModifiedBy>liuhui</cp:lastModifiedBy>
  <cp:lastPrinted>2021-11-17T05:42:00Z</cp:lastPrinted>
  <dcterms:modified xsi:type="dcterms:W3CDTF">2024-02-19T08:30:32Z</dcterms:modified>
  <cp:revision>441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8041D7C84DD64D0C9E208AD631593A15_12</vt:lpwstr>
  </property>
</Properties>
</file>